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C1F84" w14:textId="77777777" w:rsidR="00EE5D93" w:rsidRDefault="008D0DE5">
      <w:pPr>
        <w:snapToGrid w:val="0"/>
        <w:spacing w:after="16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40"/>
          <w:szCs w:val="40"/>
        </w:rPr>
        <w:t>王</w:t>
      </w:r>
      <w:r>
        <w:rPr>
          <w:rFonts w:ascii="微软雅黑" w:hAnsi="微软雅黑" w:cs="微软雅黑"/>
          <w:b/>
          <w:bCs/>
          <w:color w:val="405E6C"/>
          <w:sz w:val="40"/>
          <w:szCs w:val="40"/>
        </w:rPr>
        <w:t xml:space="preserve"> </w:t>
      </w:r>
      <w:r>
        <w:rPr>
          <w:rFonts w:ascii="微软雅黑" w:hAnsi="微软雅黑" w:cs="微软雅黑"/>
          <w:b/>
          <w:bCs/>
          <w:color w:val="405E6C"/>
          <w:sz w:val="40"/>
          <w:szCs w:val="40"/>
        </w:rPr>
        <w:t>可</w:t>
      </w:r>
      <w:r>
        <w:rPr>
          <w:rFonts w:ascii="微软雅黑" w:hAnsi="微软雅黑" w:cs="微软雅黑"/>
          <w:b/>
          <w:bCs/>
          <w:color w:val="BC8E00"/>
          <w:sz w:val="26"/>
          <w:szCs w:val="26"/>
        </w:rPr>
        <w:t xml:space="preserve">　　数据分析师</w:t>
      </w:r>
    </w:p>
    <w:p w14:paraId="5261DA87" w14:textId="6BB6293D" w:rsidR="00EE5D93" w:rsidRDefault="008D0DE5">
      <w:pPr>
        <w:snapToGrid w:val="0"/>
        <w:spacing w:after="40"/>
        <w:rPr>
          <w:rFonts w:hint="eastAsia"/>
        </w:rPr>
      </w:pPr>
      <w:r>
        <w:rPr>
          <w:rFonts w:ascii="微软雅黑" w:hAnsi="微软雅黑" w:cs="微软雅黑"/>
          <w:color w:val="595959"/>
          <w:sz w:val="17"/>
          <w:szCs w:val="17"/>
        </w:rPr>
        <w:t>电话：</w:t>
      </w:r>
      <w:r>
        <w:rPr>
          <w:rFonts w:ascii="微软雅黑" w:hAnsi="微软雅黑" w:cs="微软雅黑"/>
          <w:color w:val="595959"/>
          <w:sz w:val="17"/>
          <w:szCs w:val="17"/>
        </w:rPr>
        <w:t xml:space="preserve">18508126702    </w:t>
      </w:r>
      <w:r>
        <w:rPr>
          <w:rFonts w:ascii="微软雅黑" w:hAnsi="微软雅黑" w:cs="微软雅黑"/>
          <w:color w:val="595959"/>
          <w:sz w:val="17"/>
          <w:szCs w:val="17"/>
        </w:rPr>
        <w:t>邮箱：</w:t>
      </w:r>
      <w:r w:rsidR="008E3DFE">
        <w:rPr>
          <w:rFonts w:ascii="微软雅黑" w:hAnsi="微软雅黑" w:cs="微软雅黑" w:hint="eastAsia"/>
          <w:color w:val="595959"/>
          <w:sz w:val="17"/>
          <w:szCs w:val="17"/>
        </w:rPr>
        <w:t>18508126702@163.com</w:t>
      </w:r>
      <w:r>
        <w:rPr>
          <w:rFonts w:ascii="微软雅黑" w:hAnsi="微软雅黑" w:cs="微软雅黑"/>
          <w:color w:val="595959"/>
          <w:sz w:val="17"/>
          <w:szCs w:val="17"/>
        </w:rPr>
        <w:t xml:space="preserve">    </w:t>
      </w:r>
      <w:r>
        <w:rPr>
          <w:rFonts w:ascii="微软雅黑" w:hAnsi="微软雅黑" w:cs="微软雅黑"/>
          <w:color w:val="595959"/>
          <w:sz w:val="17"/>
          <w:szCs w:val="17"/>
        </w:rPr>
        <w:t>性别：男</w:t>
      </w:r>
      <w:r>
        <w:rPr>
          <w:rFonts w:ascii="微软雅黑" w:hAnsi="微软雅黑" w:cs="微软雅黑"/>
          <w:color w:val="595959"/>
          <w:sz w:val="17"/>
          <w:szCs w:val="17"/>
        </w:rPr>
        <w:t xml:space="preserve">    </w:t>
      </w:r>
      <w:r w:rsidR="008E3DFE">
        <w:rPr>
          <w:rFonts w:ascii="微软雅黑" w:hAnsi="微软雅黑" w:cs="微软雅黑" w:hint="eastAsia"/>
          <w:color w:val="595959"/>
          <w:sz w:val="17"/>
          <w:szCs w:val="17"/>
        </w:rPr>
        <w:t>现居地</w:t>
      </w:r>
      <w:r>
        <w:rPr>
          <w:rFonts w:ascii="微软雅黑" w:hAnsi="微软雅黑" w:cs="微软雅黑"/>
          <w:color w:val="595959"/>
          <w:sz w:val="17"/>
          <w:szCs w:val="17"/>
        </w:rPr>
        <w:t>：四川成都</w:t>
      </w:r>
      <w:r>
        <w:rPr>
          <w:rFonts w:ascii="微软雅黑" w:hAnsi="微软雅黑" w:cs="微软雅黑"/>
          <w:color w:val="595959"/>
          <w:sz w:val="17"/>
          <w:szCs w:val="17"/>
        </w:rPr>
        <w:t xml:space="preserve">    </w:t>
      </w:r>
      <w:r>
        <w:rPr>
          <w:rFonts w:ascii="微软雅黑" w:hAnsi="微软雅黑" w:cs="微软雅黑"/>
          <w:color w:val="595959"/>
          <w:sz w:val="17"/>
          <w:szCs w:val="17"/>
        </w:rPr>
        <w:t>出生年月：</w:t>
      </w:r>
      <w:r>
        <w:rPr>
          <w:rFonts w:ascii="微软雅黑" w:hAnsi="微软雅黑" w:cs="微软雅黑"/>
          <w:color w:val="595959"/>
          <w:sz w:val="17"/>
          <w:szCs w:val="17"/>
        </w:rPr>
        <w:t>2004.09</w:t>
      </w:r>
    </w:p>
    <w:p w14:paraId="0F094324" w14:textId="77777777" w:rsidR="00EE5D93" w:rsidRDefault="00EE5D93">
      <w:pPr>
        <w:pBdr>
          <w:bottom w:val="single" w:sz="18" w:space="2" w:color="BC8E00"/>
        </w:pBdr>
        <w:snapToGrid w:val="0"/>
        <w:spacing w:after="28" w:line="120" w:lineRule="auto"/>
        <w:rPr>
          <w:rFonts w:hint="eastAsia"/>
        </w:rPr>
      </w:pPr>
    </w:p>
    <w:p w14:paraId="7161643D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t xml:space="preserve">　教育背景</w:t>
      </w:r>
    </w:p>
    <w:p w14:paraId="404F5FC9" w14:textId="41BD8109" w:rsidR="00EE5D93" w:rsidRDefault="008E3DFE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 w:hint="eastAsia"/>
          <w:b/>
          <w:bCs/>
          <w:color w:val="405E6C"/>
          <w:sz w:val="20"/>
          <w:szCs w:val="20"/>
        </w:rPr>
        <w:t>成都信息工程大学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</w:t>
      </w:r>
      <w:r>
        <w:rPr>
          <w:rFonts w:ascii="微软雅黑" w:hAnsi="微软雅黑" w:cs="微软雅黑" w:hint="eastAsia"/>
          <w:b/>
          <w:bCs/>
          <w:color w:val="405E6C"/>
          <w:sz w:val="20"/>
          <w:szCs w:val="20"/>
        </w:rPr>
        <w:t>网络空间安全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本科</w:t>
      </w:r>
    </w:p>
    <w:p w14:paraId="401A83F3" w14:textId="50B309C1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GPA</w:t>
      </w:r>
      <w:r>
        <w:rPr>
          <w:rFonts w:ascii="微软雅黑" w:hAnsi="微软雅黑" w:cs="微软雅黑"/>
          <w:color w:val="404040"/>
          <w:sz w:val="19"/>
          <w:szCs w:val="19"/>
        </w:rPr>
        <w:t>：</w:t>
      </w:r>
      <w:r>
        <w:rPr>
          <w:rFonts w:ascii="微软雅黑" w:hAnsi="微软雅黑" w:cs="微软雅黑"/>
          <w:color w:val="404040"/>
          <w:sz w:val="19"/>
          <w:szCs w:val="19"/>
        </w:rPr>
        <w:t>3.3 / 4.0</w:t>
      </w:r>
      <w:r>
        <w:rPr>
          <w:rFonts w:ascii="微软雅黑" w:hAnsi="微软雅黑" w:cs="微软雅黑"/>
          <w:color w:val="404040"/>
          <w:sz w:val="19"/>
          <w:szCs w:val="19"/>
        </w:rPr>
        <w:t>（专业前</w:t>
      </w:r>
      <w:r w:rsidR="008E3DFE">
        <w:rPr>
          <w:rFonts w:ascii="微软雅黑" w:hAnsi="微软雅黑" w:cs="微软雅黑" w:hint="eastAsia"/>
          <w:color w:val="404040"/>
          <w:sz w:val="19"/>
          <w:szCs w:val="19"/>
        </w:rPr>
        <w:t>2</w:t>
      </w:r>
      <w:r>
        <w:rPr>
          <w:rFonts w:ascii="微软雅黑" w:hAnsi="微软雅黑" w:cs="微软雅黑"/>
          <w:color w:val="404040"/>
          <w:sz w:val="19"/>
          <w:szCs w:val="19"/>
        </w:rPr>
        <w:t>0%</w:t>
      </w:r>
      <w:r>
        <w:rPr>
          <w:rFonts w:ascii="微软雅黑" w:hAnsi="微软雅黑" w:cs="微软雅黑"/>
          <w:color w:val="404040"/>
          <w:sz w:val="19"/>
          <w:szCs w:val="19"/>
        </w:rPr>
        <w:t>）</w:t>
      </w:r>
    </w:p>
    <w:p w14:paraId="5444EAA0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核心课程：</w:t>
      </w:r>
      <w:r>
        <w:rPr>
          <w:rFonts w:ascii="微软雅黑" w:hAnsi="微软雅黑" w:cs="微软雅黑"/>
          <w:color w:val="404040"/>
          <w:sz w:val="19"/>
          <w:szCs w:val="19"/>
        </w:rPr>
        <w:t>Python</w:t>
      </w:r>
      <w:r>
        <w:rPr>
          <w:rFonts w:ascii="微软雅黑" w:hAnsi="微软雅黑" w:cs="微软雅黑"/>
          <w:color w:val="404040"/>
          <w:sz w:val="19"/>
          <w:szCs w:val="19"/>
        </w:rPr>
        <w:t>程序设计、数据库原理及应用、深度学习、数理统计学、</w:t>
      </w:r>
      <w:r>
        <w:rPr>
          <w:rFonts w:ascii="微软雅黑" w:hAnsi="微软雅黑" w:cs="微软雅黑"/>
          <w:color w:val="404040"/>
          <w:sz w:val="19"/>
          <w:szCs w:val="19"/>
        </w:rPr>
        <w:t>Web</w:t>
      </w:r>
      <w:r>
        <w:rPr>
          <w:rFonts w:ascii="微软雅黑" w:hAnsi="微软雅黑" w:cs="微软雅黑"/>
          <w:color w:val="404040"/>
          <w:sz w:val="19"/>
          <w:szCs w:val="19"/>
        </w:rPr>
        <w:t>前端技术、数据结构与算法、计算机网络、软件工程</w:t>
      </w:r>
    </w:p>
    <w:p w14:paraId="72E9E4CC" w14:textId="7BD0894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获奖情况：院级优秀团干部</w:t>
      </w:r>
      <w:r>
        <w:rPr>
          <w:rFonts w:ascii="微软雅黑" w:hAnsi="微软雅黑" w:cs="微软雅黑"/>
          <w:color w:val="404040"/>
          <w:sz w:val="19"/>
          <w:szCs w:val="19"/>
        </w:rPr>
        <w:t>(2023-2025)</w:t>
      </w:r>
      <w:r>
        <w:rPr>
          <w:rFonts w:ascii="微软雅黑" w:hAnsi="微软雅黑" w:cs="微软雅黑"/>
          <w:color w:val="404040"/>
          <w:sz w:val="19"/>
          <w:szCs w:val="19"/>
        </w:rPr>
        <w:t>；院级优秀学生干部</w:t>
      </w:r>
      <w:r>
        <w:rPr>
          <w:rFonts w:ascii="微软雅黑" w:hAnsi="微软雅黑" w:cs="微软雅黑"/>
          <w:color w:val="404040"/>
          <w:sz w:val="19"/>
          <w:szCs w:val="19"/>
        </w:rPr>
        <w:t>(2024-2025)</w:t>
      </w:r>
      <w:r>
        <w:rPr>
          <w:rFonts w:ascii="微软雅黑" w:hAnsi="微软雅黑" w:cs="微软雅黑"/>
          <w:color w:val="404040"/>
          <w:sz w:val="19"/>
          <w:szCs w:val="19"/>
        </w:rPr>
        <w:t>；</w:t>
      </w:r>
      <w:r w:rsidR="008E3DFE">
        <w:rPr>
          <w:rFonts w:ascii="微软雅黑" w:hAnsi="微软雅黑" w:cs="微软雅黑" w:hint="eastAsia"/>
          <w:color w:val="404040"/>
          <w:sz w:val="19"/>
          <w:szCs w:val="19"/>
        </w:rPr>
        <w:t>成都信息工程</w:t>
      </w:r>
      <w:r>
        <w:rPr>
          <w:rFonts w:ascii="微软雅黑" w:hAnsi="微软雅黑" w:cs="微软雅黑"/>
          <w:color w:val="404040"/>
          <w:sz w:val="19"/>
          <w:szCs w:val="19"/>
        </w:rPr>
        <w:t>大学程序设计大赛二等奖</w:t>
      </w:r>
      <w:r>
        <w:rPr>
          <w:rFonts w:ascii="微软雅黑" w:hAnsi="微软雅黑" w:cs="微软雅黑"/>
          <w:color w:val="404040"/>
          <w:sz w:val="19"/>
          <w:szCs w:val="19"/>
        </w:rPr>
        <w:t>(2024-2025)</w:t>
      </w:r>
      <w:r>
        <w:rPr>
          <w:rFonts w:ascii="微软雅黑" w:hAnsi="微软雅黑" w:cs="微软雅黑"/>
          <w:color w:val="404040"/>
          <w:sz w:val="19"/>
          <w:szCs w:val="19"/>
        </w:rPr>
        <w:t>、三等奖</w:t>
      </w:r>
      <w:r>
        <w:rPr>
          <w:rFonts w:ascii="微软雅黑" w:hAnsi="微软雅黑" w:cs="微软雅黑"/>
          <w:color w:val="404040"/>
          <w:sz w:val="19"/>
          <w:szCs w:val="19"/>
        </w:rPr>
        <w:t>(2025-2026)</w:t>
      </w:r>
    </w:p>
    <w:p w14:paraId="11FB5CCD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t xml:space="preserve">　实习经历</w:t>
      </w:r>
    </w:p>
    <w:p w14:paraId="7323CD28" w14:textId="6A862EB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成东卓越商贸有限公司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大数据分析实习生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2026.06 - 2026.08</w:t>
      </w:r>
    </w:p>
    <w:p w14:paraId="3F826993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数据清洗与处理：定期汇总重庆门店订单数、</w:t>
      </w:r>
      <w:r>
        <w:rPr>
          <w:rFonts w:ascii="微软雅黑" w:hAnsi="微软雅黑" w:cs="微软雅黑"/>
          <w:color w:val="404040"/>
          <w:sz w:val="19"/>
          <w:szCs w:val="19"/>
        </w:rPr>
        <w:t>GMV</w:t>
      </w:r>
      <w:r>
        <w:rPr>
          <w:rFonts w:ascii="微软雅黑" w:hAnsi="微软雅黑" w:cs="微软雅黑"/>
          <w:color w:val="404040"/>
          <w:sz w:val="19"/>
          <w:szCs w:val="19"/>
        </w:rPr>
        <w:t>、产品销量、客单价等经营数据，完成数据清洗与交叉核对。</w:t>
      </w:r>
    </w:p>
    <w:p w14:paraId="0918F191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门店多维度指标拆解：按月</w:t>
      </w:r>
      <w:r>
        <w:rPr>
          <w:rFonts w:ascii="微软雅黑" w:hAnsi="微软雅黑" w:cs="微软雅黑"/>
          <w:color w:val="404040"/>
          <w:sz w:val="19"/>
          <w:szCs w:val="19"/>
        </w:rPr>
        <w:t>/</w:t>
      </w:r>
      <w:r>
        <w:rPr>
          <w:rFonts w:ascii="微软雅黑" w:hAnsi="微软雅黑" w:cs="微软雅黑"/>
          <w:color w:val="404040"/>
          <w:sz w:val="19"/>
          <w:szCs w:val="19"/>
        </w:rPr>
        <w:t>周完成销售额同比、环比；按门店、品类分层拆解核心指标，分析客流波动、客单价结构、滞销商品、时段销售规律。</w:t>
      </w:r>
    </w:p>
    <w:p w14:paraId="1CF7EDE4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营销活动复盘：跟进门店促销与新品上架，构建指标体系、量化活动</w:t>
      </w:r>
      <w:r>
        <w:rPr>
          <w:rFonts w:ascii="微软雅黑" w:hAnsi="微软雅黑" w:cs="微软雅黑"/>
          <w:color w:val="404040"/>
          <w:sz w:val="19"/>
          <w:szCs w:val="19"/>
        </w:rPr>
        <w:t>ROI</w:t>
      </w:r>
      <w:r>
        <w:rPr>
          <w:rFonts w:ascii="微软雅黑" w:hAnsi="微软雅黑" w:cs="微软雅黑"/>
          <w:color w:val="404040"/>
          <w:sz w:val="19"/>
          <w:szCs w:val="19"/>
        </w:rPr>
        <w:t>，撰写分析报告并复盘汇报；在朝天门</w:t>
      </w:r>
      <w:r>
        <w:rPr>
          <w:rFonts w:ascii="微软雅黑" w:hAnsi="微软雅黑" w:cs="微软雅黑"/>
          <w:color w:val="404040"/>
          <w:sz w:val="19"/>
          <w:szCs w:val="19"/>
        </w:rPr>
        <w:t>·</w:t>
      </w:r>
      <w:r>
        <w:rPr>
          <w:rFonts w:ascii="微软雅黑" w:hAnsi="微软雅黑" w:cs="微软雅黑"/>
          <w:color w:val="404040"/>
          <w:sz w:val="19"/>
          <w:szCs w:val="19"/>
        </w:rPr>
        <w:t>城里店活动中提供优化建议，销售额</w:t>
      </w:r>
      <w:r>
        <w:rPr>
          <w:rFonts w:ascii="微软雅黑" w:hAnsi="微软雅黑" w:cs="微软雅黑"/>
          <w:color w:val="404040"/>
          <w:sz w:val="19"/>
          <w:szCs w:val="19"/>
        </w:rPr>
        <w:t>+14%</w:t>
      </w:r>
      <w:r>
        <w:rPr>
          <w:rFonts w:ascii="微软雅黑" w:hAnsi="微软雅黑" w:cs="微软雅黑"/>
          <w:color w:val="404040"/>
          <w:sz w:val="19"/>
          <w:szCs w:val="19"/>
        </w:rPr>
        <w:t>、下单人数</w:t>
      </w:r>
      <w:r>
        <w:rPr>
          <w:rFonts w:ascii="微软雅黑" w:hAnsi="微软雅黑" w:cs="微软雅黑"/>
          <w:color w:val="404040"/>
          <w:sz w:val="19"/>
          <w:szCs w:val="19"/>
        </w:rPr>
        <w:t>+12%</w:t>
      </w:r>
      <w:r>
        <w:rPr>
          <w:rFonts w:ascii="微软雅黑" w:hAnsi="微软雅黑" w:cs="微软雅黑"/>
          <w:color w:val="404040"/>
          <w:sz w:val="19"/>
          <w:szCs w:val="19"/>
        </w:rPr>
        <w:t>、会员</w:t>
      </w:r>
      <w:r>
        <w:rPr>
          <w:rFonts w:ascii="微软雅黑" w:hAnsi="微软雅黑" w:cs="微软雅黑"/>
          <w:color w:val="404040"/>
          <w:sz w:val="19"/>
          <w:szCs w:val="19"/>
        </w:rPr>
        <w:t>+7%</w:t>
      </w:r>
      <w:r>
        <w:rPr>
          <w:rFonts w:ascii="微软雅黑" w:hAnsi="微软雅黑" w:cs="微软雅黑"/>
          <w:color w:val="404040"/>
          <w:sz w:val="19"/>
          <w:szCs w:val="19"/>
        </w:rPr>
        <w:t>。</w:t>
      </w:r>
    </w:p>
    <w:p w14:paraId="6E6E0FBA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日常任务：输出可视化经营报表并参与数据汇报；协助完善数据报表规范。</w:t>
      </w:r>
    </w:p>
    <w:p w14:paraId="0F5E52DA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重庆启零教育信息咨询服务有限公司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数据分析实习生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2025.07 - 2025.08</w:t>
      </w:r>
    </w:p>
    <w:p w14:paraId="309D2779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协助整理旗下金德凯顿国际幼稚园师生数据，完成数据清洗与标准化录入，确保核心字段准确率。</w:t>
      </w:r>
    </w:p>
    <w:p w14:paraId="1800223A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配合运营提供幼教业务数据支撑，整理招生、特色课程、学员转化等核心数据指标。</w:t>
      </w:r>
    </w:p>
    <w:p w14:paraId="582DD9AB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参与外教课、美术</w:t>
      </w:r>
      <w:r>
        <w:rPr>
          <w:rFonts w:ascii="微软雅黑" w:hAnsi="微软雅黑" w:cs="微软雅黑"/>
          <w:color w:val="404040"/>
          <w:sz w:val="19"/>
          <w:szCs w:val="19"/>
        </w:rPr>
        <w:t>/</w:t>
      </w:r>
      <w:r>
        <w:rPr>
          <w:rFonts w:ascii="微软雅黑" w:hAnsi="微软雅黑" w:cs="微软雅黑"/>
          <w:color w:val="404040"/>
          <w:sz w:val="19"/>
          <w:szCs w:val="19"/>
        </w:rPr>
        <w:t>体能兴趣课及招生体验活动的数据采集与汇总统计，输出活动数据复盘报表。</w:t>
      </w:r>
    </w:p>
    <w:p w14:paraId="720463B6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按月归集园区经营台账，协助核对基础业务数据，制作</w:t>
      </w:r>
      <w:r>
        <w:rPr>
          <w:rFonts w:ascii="微软雅黑" w:hAnsi="微软雅黑" w:cs="微软雅黑"/>
          <w:color w:val="404040"/>
          <w:sz w:val="19"/>
          <w:szCs w:val="19"/>
        </w:rPr>
        <w:t>Excel</w:t>
      </w:r>
      <w:r>
        <w:rPr>
          <w:rFonts w:ascii="微软雅黑" w:hAnsi="微软雅黑" w:cs="微软雅黑"/>
          <w:color w:val="404040"/>
          <w:sz w:val="19"/>
          <w:szCs w:val="19"/>
        </w:rPr>
        <w:t>报表并完成月度归档与核对。</w:t>
      </w:r>
    </w:p>
    <w:p w14:paraId="2D724138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t xml:space="preserve">　项目经历</w:t>
      </w:r>
    </w:p>
    <w:p w14:paraId="133CBDD0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基于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Python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的协作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SaaS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经营健康度分析与流失预警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数据分析师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2026.07 - 2026.08</w:t>
      </w:r>
    </w:p>
    <w:p w14:paraId="1C4A9E72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清洗用户、订阅、行为、客服等约</w:t>
      </w:r>
      <w:r>
        <w:rPr>
          <w:rFonts w:ascii="微软雅黑" w:hAnsi="微软雅黑" w:cs="微软雅黑"/>
          <w:color w:val="404040"/>
          <w:sz w:val="19"/>
          <w:szCs w:val="19"/>
        </w:rPr>
        <w:t>78.8</w:t>
      </w:r>
      <w:r>
        <w:rPr>
          <w:rFonts w:ascii="微软雅黑" w:hAnsi="微软雅黑" w:cs="微软雅黑"/>
          <w:color w:val="404040"/>
          <w:sz w:val="19"/>
          <w:szCs w:val="19"/>
        </w:rPr>
        <w:t>万条明细数据，完成去重、日期与枚举标准化及业务规则校验。</w:t>
      </w:r>
    </w:p>
    <w:p w14:paraId="75AD32A2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基于</w:t>
      </w:r>
      <w:r>
        <w:rPr>
          <w:rFonts w:ascii="微软雅黑" w:hAnsi="微软雅黑" w:cs="微软雅黑"/>
          <w:color w:val="404040"/>
          <w:sz w:val="19"/>
          <w:szCs w:val="19"/>
        </w:rPr>
        <w:t>Pandas</w:t>
      </w:r>
      <w:r>
        <w:rPr>
          <w:rFonts w:ascii="微软雅黑" w:hAnsi="微软雅黑" w:cs="微软雅黑"/>
          <w:color w:val="404040"/>
          <w:sz w:val="19"/>
          <w:szCs w:val="19"/>
        </w:rPr>
        <w:t>构建月度</w:t>
      </w:r>
      <w:r>
        <w:rPr>
          <w:rFonts w:ascii="微软雅黑" w:hAnsi="微软雅黑" w:cs="微软雅黑"/>
          <w:color w:val="404040"/>
          <w:sz w:val="19"/>
          <w:szCs w:val="19"/>
        </w:rPr>
        <w:t>KPI</w:t>
      </w:r>
      <w:r>
        <w:rPr>
          <w:rFonts w:ascii="微软雅黑" w:hAnsi="微软雅黑" w:cs="微软雅黑"/>
          <w:color w:val="404040"/>
          <w:sz w:val="19"/>
          <w:szCs w:val="19"/>
        </w:rPr>
        <w:t>、渠道获客、</w:t>
      </w:r>
      <w:r>
        <w:rPr>
          <w:rFonts w:ascii="微软雅黑" w:hAnsi="微软雅黑" w:cs="微软雅黑"/>
          <w:color w:val="404040"/>
          <w:sz w:val="19"/>
          <w:szCs w:val="19"/>
        </w:rPr>
        <w:t>Cohort</w:t>
      </w:r>
      <w:r>
        <w:rPr>
          <w:rFonts w:ascii="微软雅黑" w:hAnsi="微软雅黑" w:cs="微软雅黑"/>
          <w:color w:val="404040"/>
          <w:sz w:val="19"/>
          <w:szCs w:val="19"/>
        </w:rPr>
        <w:t>留存、转化漏斗、活动</w:t>
      </w:r>
      <w:r>
        <w:rPr>
          <w:rFonts w:ascii="微软雅黑" w:hAnsi="微软雅黑" w:cs="微软雅黑"/>
          <w:color w:val="404040"/>
          <w:sz w:val="19"/>
          <w:szCs w:val="19"/>
        </w:rPr>
        <w:t>ROI</w:t>
      </w:r>
      <w:r>
        <w:rPr>
          <w:rFonts w:ascii="微软雅黑" w:hAnsi="微软雅黑" w:cs="微软雅黑"/>
          <w:color w:val="404040"/>
          <w:sz w:val="19"/>
          <w:szCs w:val="19"/>
        </w:rPr>
        <w:t>等</w:t>
      </w:r>
      <w:r>
        <w:rPr>
          <w:rFonts w:ascii="微软雅黑" w:hAnsi="微软雅黑" w:cs="微软雅黑"/>
          <w:color w:val="404040"/>
          <w:sz w:val="19"/>
          <w:szCs w:val="19"/>
        </w:rPr>
        <w:t>12+</w:t>
      </w:r>
      <w:r>
        <w:rPr>
          <w:rFonts w:ascii="微软雅黑" w:hAnsi="微软雅黑" w:cs="微软雅黑"/>
          <w:color w:val="404040"/>
          <w:sz w:val="19"/>
          <w:szCs w:val="19"/>
        </w:rPr>
        <w:t>张指标表，统一核心指标口径。</w:t>
      </w:r>
    </w:p>
    <w:p w14:paraId="107C6C09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对比活动前</w:t>
      </w:r>
      <w:r>
        <w:rPr>
          <w:rFonts w:ascii="微软雅黑" w:hAnsi="微软雅黑" w:cs="微软雅黑"/>
          <w:color w:val="404040"/>
          <w:sz w:val="19"/>
          <w:szCs w:val="19"/>
        </w:rPr>
        <w:t>/</w:t>
      </w:r>
      <w:r>
        <w:rPr>
          <w:rFonts w:ascii="微软雅黑" w:hAnsi="微软雅黑" w:cs="微软雅黑"/>
          <w:color w:val="404040"/>
          <w:sz w:val="19"/>
          <w:szCs w:val="19"/>
        </w:rPr>
        <w:t>中</w:t>
      </w:r>
      <w:r>
        <w:rPr>
          <w:rFonts w:ascii="微软雅黑" w:hAnsi="微软雅黑" w:cs="微软雅黑"/>
          <w:color w:val="404040"/>
          <w:sz w:val="19"/>
          <w:szCs w:val="19"/>
        </w:rPr>
        <w:t>/</w:t>
      </w:r>
      <w:r>
        <w:rPr>
          <w:rFonts w:ascii="微软雅黑" w:hAnsi="微软雅黑" w:cs="微软雅黑"/>
          <w:color w:val="404040"/>
          <w:sz w:val="19"/>
          <w:szCs w:val="19"/>
        </w:rPr>
        <w:t>后三阶段，识别「人涨、钱不涨」结构性风险（</w:t>
      </w:r>
      <w:r>
        <w:rPr>
          <w:rFonts w:ascii="微软雅黑" w:hAnsi="微软雅黑" w:cs="微软雅黑"/>
          <w:color w:val="404040"/>
          <w:sz w:val="19"/>
          <w:szCs w:val="19"/>
        </w:rPr>
        <w:t>MRR</w:t>
      </w:r>
      <w:r>
        <w:rPr>
          <w:rFonts w:ascii="微软雅黑" w:hAnsi="微软雅黑" w:cs="微软雅黑"/>
          <w:color w:val="404040"/>
          <w:sz w:val="19"/>
          <w:szCs w:val="19"/>
        </w:rPr>
        <w:t>仅</w:t>
      </w:r>
      <w:r>
        <w:rPr>
          <w:rFonts w:ascii="微软雅黑" w:hAnsi="微软雅黑" w:cs="微软雅黑"/>
          <w:color w:val="404040"/>
          <w:sz w:val="19"/>
          <w:szCs w:val="19"/>
        </w:rPr>
        <w:t>+16.7%</w:t>
      </w:r>
      <w:r>
        <w:rPr>
          <w:rFonts w:ascii="微软雅黑" w:hAnsi="微软雅黑" w:cs="微软雅黑"/>
          <w:color w:val="404040"/>
          <w:sz w:val="19"/>
          <w:szCs w:val="19"/>
        </w:rPr>
        <w:t>，</w:t>
      </w:r>
      <w:r>
        <w:rPr>
          <w:rFonts w:ascii="微软雅黑" w:hAnsi="微软雅黑" w:cs="微软雅黑"/>
          <w:color w:val="404040"/>
          <w:sz w:val="19"/>
          <w:szCs w:val="19"/>
        </w:rPr>
        <w:t>Enterprise</w:t>
      </w:r>
      <w:r>
        <w:rPr>
          <w:rFonts w:ascii="微软雅黑" w:hAnsi="微软雅黑" w:cs="微软雅黑"/>
          <w:color w:val="404040"/>
          <w:sz w:val="19"/>
          <w:szCs w:val="19"/>
        </w:rPr>
        <w:t>占比</w:t>
      </w:r>
      <w:r>
        <w:rPr>
          <w:rFonts w:ascii="微软雅黑" w:hAnsi="微软雅黑" w:cs="微软雅黑"/>
          <w:color w:val="404040"/>
          <w:sz w:val="19"/>
          <w:szCs w:val="19"/>
        </w:rPr>
        <w:t>26.6%→16.0%</w:t>
      </w:r>
      <w:r>
        <w:rPr>
          <w:rFonts w:ascii="微软雅黑" w:hAnsi="微软雅黑" w:cs="微软雅黑"/>
          <w:color w:val="404040"/>
          <w:sz w:val="19"/>
          <w:szCs w:val="19"/>
        </w:rPr>
        <w:t>）。</w:t>
      </w:r>
    </w:p>
    <w:p w14:paraId="1049606D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使用</w:t>
      </w:r>
      <w:r>
        <w:rPr>
          <w:rFonts w:ascii="微软雅黑" w:hAnsi="微软雅黑" w:cs="微软雅黑"/>
          <w:color w:val="404040"/>
          <w:sz w:val="19"/>
          <w:szCs w:val="19"/>
        </w:rPr>
        <w:t>PyEcharts+HTML/CSS</w:t>
      </w:r>
      <w:r>
        <w:rPr>
          <w:rFonts w:ascii="微软雅黑" w:hAnsi="微软雅黑" w:cs="微软雅黑"/>
          <w:color w:val="404040"/>
          <w:sz w:val="19"/>
          <w:szCs w:val="19"/>
        </w:rPr>
        <w:t>搭建总览及下钻看板；构建下月流失预测模型（</w:t>
      </w:r>
      <w:r>
        <w:rPr>
          <w:rFonts w:ascii="微软雅黑" w:hAnsi="微软雅黑" w:cs="微软雅黑"/>
          <w:color w:val="404040"/>
          <w:sz w:val="19"/>
          <w:szCs w:val="19"/>
        </w:rPr>
        <w:t>Valid AUC≈0.76</w:t>
      </w:r>
      <w:r>
        <w:rPr>
          <w:rFonts w:ascii="微软雅黑" w:hAnsi="微软雅黑" w:cs="微软雅黑"/>
          <w:color w:val="404040"/>
          <w:sz w:val="19"/>
          <w:szCs w:val="19"/>
        </w:rPr>
        <w:t>），输出高风险用户名单。</w:t>
      </w:r>
    </w:p>
    <w:p w14:paraId="6A04F030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预警</w:t>
      </w:r>
      <w:r>
        <w:rPr>
          <w:rFonts w:ascii="微软雅黑" w:hAnsi="微软雅黑" w:cs="微软雅黑"/>
          <w:color w:val="404040"/>
          <w:sz w:val="19"/>
          <w:szCs w:val="19"/>
        </w:rPr>
        <w:t>Q4</w:t>
      </w:r>
      <w:r>
        <w:rPr>
          <w:rFonts w:ascii="微软雅黑" w:hAnsi="微软雅黑" w:cs="微软雅黑"/>
          <w:color w:val="404040"/>
          <w:sz w:val="19"/>
          <w:szCs w:val="19"/>
        </w:rPr>
        <w:t>流失率升至约</w:t>
      </w:r>
      <w:r>
        <w:rPr>
          <w:rFonts w:ascii="微软雅黑" w:hAnsi="微软雅黑" w:cs="微软雅黑"/>
          <w:color w:val="404040"/>
          <w:sz w:val="19"/>
          <w:szCs w:val="19"/>
        </w:rPr>
        <w:t>13%</w:t>
      </w:r>
      <w:r>
        <w:rPr>
          <w:rFonts w:ascii="微软雅黑" w:hAnsi="微软雅黑" w:cs="微软雅黑"/>
          <w:color w:val="404040"/>
          <w:sz w:val="19"/>
          <w:szCs w:val="19"/>
        </w:rPr>
        <w:t>；支撑年收款约</w:t>
      </w:r>
      <w:r>
        <w:rPr>
          <w:rFonts w:ascii="微软雅黑" w:hAnsi="微软雅黑" w:cs="微软雅黑"/>
          <w:color w:val="404040"/>
          <w:sz w:val="19"/>
          <w:szCs w:val="19"/>
        </w:rPr>
        <w:t>2700</w:t>
      </w:r>
      <w:r>
        <w:rPr>
          <w:rFonts w:ascii="微软雅黑" w:hAnsi="微软雅黑" w:cs="微软雅黑"/>
          <w:color w:val="404040"/>
          <w:sz w:val="19"/>
          <w:szCs w:val="19"/>
        </w:rPr>
        <w:t>万、</w:t>
      </w:r>
      <w:r>
        <w:rPr>
          <w:rFonts w:ascii="微软雅黑" w:hAnsi="微软雅黑" w:cs="微软雅黑"/>
          <w:color w:val="404040"/>
          <w:sz w:val="19"/>
          <w:szCs w:val="19"/>
        </w:rPr>
        <w:t>KPI</w:t>
      </w:r>
      <w:r>
        <w:rPr>
          <w:rFonts w:ascii="微软雅黑" w:hAnsi="微软雅黑" w:cs="微软雅黑"/>
          <w:color w:val="404040"/>
          <w:sz w:val="19"/>
          <w:szCs w:val="19"/>
        </w:rPr>
        <w:t>完成率约</w:t>
      </w:r>
      <w:r>
        <w:rPr>
          <w:rFonts w:ascii="微软雅黑" w:hAnsi="微软雅黑" w:cs="微软雅黑"/>
          <w:color w:val="404040"/>
          <w:sz w:val="19"/>
          <w:szCs w:val="19"/>
        </w:rPr>
        <w:t>100%</w:t>
      </w:r>
      <w:r>
        <w:rPr>
          <w:rFonts w:ascii="微软雅黑" w:hAnsi="微软雅黑" w:cs="微软雅黑"/>
          <w:color w:val="404040"/>
          <w:sz w:val="19"/>
          <w:szCs w:val="19"/>
        </w:rPr>
        <w:t>。</w:t>
      </w:r>
    </w:p>
    <w:p w14:paraId="5A7F6349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某品牌餐饮连锁店数据分析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Power BI  |  2024 - 2026</w:t>
      </w:r>
    </w:p>
    <w:p w14:paraId="6410DF67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基于</w:t>
      </w:r>
      <w:r>
        <w:rPr>
          <w:rFonts w:ascii="微软雅黑" w:hAnsi="微软雅黑" w:cs="微软雅黑"/>
          <w:color w:val="404040"/>
          <w:sz w:val="19"/>
          <w:szCs w:val="19"/>
        </w:rPr>
        <w:t>2024-2026</w:t>
      </w:r>
      <w:r>
        <w:rPr>
          <w:rFonts w:ascii="微软雅黑" w:hAnsi="微软雅黑" w:cs="微软雅黑"/>
          <w:color w:val="404040"/>
          <w:sz w:val="19"/>
          <w:szCs w:val="19"/>
        </w:rPr>
        <w:t>销售订单数据，使用</w:t>
      </w:r>
      <w:r>
        <w:rPr>
          <w:rFonts w:ascii="微软雅黑" w:hAnsi="微软雅黑" w:cs="微软雅黑"/>
          <w:color w:val="404040"/>
          <w:sz w:val="19"/>
          <w:szCs w:val="19"/>
        </w:rPr>
        <w:t>Power Query</w:t>
      </w:r>
      <w:r>
        <w:rPr>
          <w:rFonts w:ascii="微软雅黑" w:hAnsi="微软雅黑" w:cs="微软雅黑"/>
          <w:color w:val="404040"/>
          <w:sz w:val="19"/>
          <w:szCs w:val="19"/>
        </w:rPr>
        <w:t>清洗建模，</w:t>
      </w:r>
      <w:r>
        <w:rPr>
          <w:rFonts w:ascii="微软雅黑" w:hAnsi="微软雅黑" w:cs="微软雅黑"/>
          <w:color w:val="404040"/>
          <w:sz w:val="19"/>
          <w:szCs w:val="19"/>
        </w:rPr>
        <w:t>DAX</w:t>
      </w:r>
      <w:r>
        <w:rPr>
          <w:rFonts w:ascii="微软雅黑" w:hAnsi="微软雅黑" w:cs="微软雅黑"/>
          <w:color w:val="404040"/>
          <w:sz w:val="19"/>
          <w:szCs w:val="19"/>
        </w:rPr>
        <w:t>构建</w:t>
      </w:r>
      <w:r>
        <w:rPr>
          <w:rFonts w:ascii="微软雅黑" w:hAnsi="微软雅黑" w:cs="微软雅黑"/>
          <w:color w:val="404040"/>
          <w:sz w:val="19"/>
          <w:szCs w:val="19"/>
        </w:rPr>
        <w:t>RFM</w:t>
      </w:r>
      <w:r>
        <w:rPr>
          <w:rFonts w:ascii="微软雅黑" w:hAnsi="微软雅黑" w:cs="微软雅黑"/>
          <w:color w:val="404040"/>
          <w:sz w:val="19"/>
          <w:szCs w:val="19"/>
        </w:rPr>
        <w:t>模型划分</w:t>
      </w:r>
      <w:r>
        <w:rPr>
          <w:rFonts w:ascii="微软雅黑" w:hAnsi="微软雅黑" w:cs="微软雅黑"/>
          <w:color w:val="404040"/>
          <w:sz w:val="19"/>
          <w:szCs w:val="19"/>
        </w:rPr>
        <w:t>8</w:t>
      </w:r>
      <w:r>
        <w:rPr>
          <w:rFonts w:ascii="微软雅黑" w:hAnsi="微软雅黑" w:cs="微软雅黑"/>
          <w:color w:val="404040"/>
          <w:sz w:val="19"/>
          <w:szCs w:val="19"/>
        </w:rPr>
        <w:t>类价值群体，部署</w:t>
      </w:r>
      <w:r>
        <w:rPr>
          <w:rFonts w:ascii="微软雅黑" w:hAnsi="微软雅黑" w:cs="微软雅黑"/>
          <w:color w:val="404040"/>
          <w:sz w:val="19"/>
          <w:szCs w:val="19"/>
        </w:rPr>
        <w:t>Power BI</w:t>
      </w:r>
      <w:r>
        <w:rPr>
          <w:rFonts w:ascii="微软雅黑" w:hAnsi="微软雅黑" w:cs="微软雅黑"/>
          <w:color w:val="404040"/>
          <w:sz w:val="19"/>
          <w:szCs w:val="19"/>
        </w:rPr>
        <w:t>动态看板（</w:t>
      </w:r>
      <w:r>
        <w:rPr>
          <w:rFonts w:ascii="微软雅黑" w:hAnsi="微软雅黑" w:cs="微软雅黑"/>
          <w:color w:val="404040"/>
          <w:sz w:val="19"/>
          <w:szCs w:val="19"/>
        </w:rPr>
        <w:t>Service</w:t>
      </w:r>
      <w:r>
        <w:rPr>
          <w:rFonts w:ascii="微软雅黑" w:hAnsi="微软雅黑" w:cs="微软雅黑"/>
          <w:color w:val="404040"/>
          <w:sz w:val="19"/>
          <w:szCs w:val="19"/>
        </w:rPr>
        <w:t>每日自动更新）。</w:t>
      </w:r>
    </w:p>
    <w:p w14:paraId="7657643B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洞察：会员年均消费占比约</w:t>
      </w:r>
      <w:r>
        <w:rPr>
          <w:rFonts w:ascii="微软雅黑" w:hAnsi="微软雅黑" w:cs="微软雅黑"/>
          <w:color w:val="404040"/>
          <w:sz w:val="19"/>
          <w:szCs w:val="19"/>
        </w:rPr>
        <w:t>80%</w:t>
      </w:r>
      <w:r>
        <w:rPr>
          <w:rFonts w:ascii="微软雅黑" w:hAnsi="微软雅黑" w:cs="微软雅黑"/>
          <w:color w:val="404040"/>
          <w:sz w:val="19"/>
          <w:szCs w:val="19"/>
        </w:rPr>
        <w:t>，重要价值客户</w:t>
      </w:r>
      <w:r>
        <w:rPr>
          <w:rFonts w:ascii="微软雅黑" w:hAnsi="微软雅黑" w:cs="微软雅黑"/>
          <w:color w:val="404040"/>
          <w:sz w:val="19"/>
          <w:szCs w:val="19"/>
        </w:rPr>
        <w:t>19.84%</w:t>
      </w:r>
      <w:r>
        <w:rPr>
          <w:rFonts w:ascii="微软雅黑" w:hAnsi="微软雅黑" w:cs="微软雅黑"/>
          <w:color w:val="404040"/>
          <w:sz w:val="19"/>
          <w:szCs w:val="19"/>
        </w:rPr>
        <w:t>贡献约</w:t>
      </w:r>
      <w:r>
        <w:rPr>
          <w:rFonts w:ascii="微软雅黑" w:hAnsi="微软雅黑" w:cs="微软雅黑"/>
          <w:color w:val="404040"/>
          <w:sz w:val="19"/>
          <w:szCs w:val="19"/>
        </w:rPr>
        <w:t>65%</w:t>
      </w:r>
      <w:r>
        <w:rPr>
          <w:rFonts w:ascii="微软雅黑" w:hAnsi="微软雅黑" w:cs="微软雅黑"/>
          <w:color w:val="404040"/>
          <w:sz w:val="19"/>
          <w:szCs w:val="19"/>
        </w:rPr>
        <w:t>销售额；主食占比高达</w:t>
      </w:r>
      <w:r>
        <w:rPr>
          <w:rFonts w:ascii="微软雅黑" w:hAnsi="微软雅黑" w:cs="微软雅黑"/>
          <w:color w:val="404040"/>
          <w:sz w:val="19"/>
          <w:szCs w:val="19"/>
        </w:rPr>
        <w:t>70.75%</w:t>
      </w:r>
      <w:r>
        <w:rPr>
          <w:rFonts w:ascii="微软雅黑" w:hAnsi="微软雅黑" w:cs="微软雅黑"/>
          <w:color w:val="404040"/>
          <w:sz w:val="19"/>
          <w:szCs w:val="19"/>
        </w:rPr>
        <w:t>，品类集中度过高；</w:t>
      </w:r>
      <w:r>
        <w:rPr>
          <w:rFonts w:ascii="微软雅黑" w:hAnsi="微软雅黑" w:cs="微软雅黑"/>
          <w:color w:val="404040"/>
          <w:sz w:val="19"/>
          <w:szCs w:val="19"/>
        </w:rPr>
        <w:t>5</w:t>
      </w:r>
      <w:r>
        <w:rPr>
          <w:rFonts w:ascii="微软雅黑" w:hAnsi="微软雅黑" w:cs="微软雅黑"/>
          <w:color w:val="404040"/>
          <w:sz w:val="19"/>
          <w:szCs w:val="19"/>
        </w:rPr>
        <w:t>家供应商评分</w:t>
      </w:r>
      <w:r>
        <w:rPr>
          <w:rFonts w:ascii="微软雅黑" w:hAnsi="微软雅黑" w:cs="微软雅黑"/>
          <w:color w:val="404040"/>
          <w:sz w:val="19"/>
          <w:szCs w:val="19"/>
        </w:rPr>
        <w:t>&lt;90</w:t>
      </w:r>
      <w:r>
        <w:rPr>
          <w:rFonts w:ascii="微软雅黑" w:hAnsi="微软雅黑" w:cs="微软雅黑"/>
          <w:color w:val="404040"/>
          <w:sz w:val="19"/>
          <w:szCs w:val="19"/>
        </w:rPr>
        <w:t>。</w:t>
      </w:r>
    </w:p>
    <w:p w14:paraId="11AD2844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零售超市经营数据分析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Python  |  2023 - 2025</w:t>
      </w:r>
    </w:p>
    <w:p w14:paraId="3AEE83DB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基于</w:t>
      </w:r>
      <w:r>
        <w:rPr>
          <w:rFonts w:ascii="微软雅黑" w:hAnsi="微软雅黑" w:cs="微软雅黑"/>
          <w:color w:val="404040"/>
          <w:sz w:val="19"/>
          <w:szCs w:val="19"/>
        </w:rPr>
        <w:t>2023-2025</w:t>
      </w:r>
      <w:r>
        <w:rPr>
          <w:rFonts w:ascii="微软雅黑" w:hAnsi="微软雅黑" w:cs="微软雅黑"/>
          <w:color w:val="404040"/>
          <w:sz w:val="19"/>
          <w:szCs w:val="19"/>
        </w:rPr>
        <w:t>销售数据，</w:t>
      </w:r>
      <w:r>
        <w:rPr>
          <w:rFonts w:ascii="微软雅黑" w:hAnsi="微软雅黑" w:cs="微软雅黑"/>
          <w:color w:val="404040"/>
          <w:sz w:val="19"/>
          <w:szCs w:val="19"/>
        </w:rPr>
        <w:t>Pandas</w:t>
      </w:r>
      <w:r>
        <w:rPr>
          <w:rFonts w:ascii="微软雅黑" w:hAnsi="微软雅黑" w:cs="微软雅黑"/>
          <w:color w:val="404040"/>
          <w:sz w:val="19"/>
          <w:szCs w:val="19"/>
        </w:rPr>
        <w:t>清洗去重、处理异常值，</w:t>
      </w:r>
      <w:r>
        <w:rPr>
          <w:rFonts w:ascii="微软雅黑" w:hAnsi="微软雅黑" w:cs="微软雅黑"/>
          <w:color w:val="404040"/>
          <w:sz w:val="19"/>
          <w:szCs w:val="19"/>
        </w:rPr>
        <w:t>Pyecharts</w:t>
      </w:r>
      <w:r>
        <w:rPr>
          <w:rFonts w:ascii="微软雅黑" w:hAnsi="微软雅黑" w:cs="微软雅黑"/>
          <w:color w:val="404040"/>
          <w:sz w:val="19"/>
          <w:szCs w:val="19"/>
        </w:rPr>
        <w:t>绘制</w:t>
      </w:r>
      <w:r>
        <w:rPr>
          <w:rFonts w:ascii="微软雅黑" w:hAnsi="微软雅黑" w:cs="微软雅黑"/>
          <w:color w:val="404040"/>
          <w:sz w:val="19"/>
          <w:szCs w:val="19"/>
        </w:rPr>
        <w:t>9</w:t>
      </w:r>
      <w:r>
        <w:rPr>
          <w:rFonts w:ascii="微软雅黑" w:hAnsi="微软雅黑" w:cs="微软雅黑"/>
          <w:color w:val="404040"/>
          <w:sz w:val="19"/>
          <w:szCs w:val="19"/>
        </w:rPr>
        <w:t>张交互图表整合为</w:t>
      </w:r>
      <w:r>
        <w:rPr>
          <w:rFonts w:ascii="微软雅黑" w:hAnsi="微软雅黑" w:cs="微软雅黑"/>
          <w:color w:val="404040"/>
          <w:sz w:val="19"/>
          <w:szCs w:val="19"/>
        </w:rPr>
        <w:t>HTML</w:t>
      </w:r>
      <w:r>
        <w:rPr>
          <w:rFonts w:ascii="微软雅黑" w:hAnsi="微软雅黑" w:cs="微软雅黑"/>
          <w:color w:val="404040"/>
          <w:sz w:val="19"/>
          <w:szCs w:val="19"/>
        </w:rPr>
        <w:t>看板。</w:t>
      </w:r>
    </w:p>
    <w:p w14:paraId="6B454983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洞察：</w:t>
      </w:r>
      <w:r>
        <w:rPr>
          <w:rFonts w:ascii="微软雅黑" w:hAnsi="微软雅黑" w:cs="微软雅黑"/>
          <w:color w:val="404040"/>
          <w:sz w:val="19"/>
          <w:szCs w:val="19"/>
        </w:rPr>
        <w:t>2025</w:t>
      </w:r>
      <w:r>
        <w:rPr>
          <w:rFonts w:ascii="微软雅黑" w:hAnsi="微软雅黑" w:cs="微软雅黑"/>
          <w:color w:val="404040"/>
          <w:sz w:val="19"/>
          <w:szCs w:val="19"/>
        </w:rPr>
        <w:t>年</w:t>
      </w:r>
      <w:r>
        <w:rPr>
          <w:rFonts w:ascii="微软雅黑" w:hAnsi="微软雅黑" w:cs="微软雅黑"/>
          <w:color w:val="404040"/>
          <w:sz w:val="19"/>
          <w:szCs w:val="19"/>
        </w:rPr>
        <w:t>5-12</w:t>
      </w:r>
      <w:r>
        <w:rPr>
          <w:rFonts w:ascii="微软雅黑" w:hAnsi="微软雅黑" w:cs="微软雅黑"/>
          <w:color w:val="404040"/>
          <w:sz w:val="19"/>
          <w:szCs w:val="19"/>
        </w:rPr>
        <w:t>月销售额断崖下滑（月均</w:t>
      </w:r>
      <w:r>
        <w:rPr>
          <w:rFonts w:ascii="微软雅黑" w:hAnsi="微软雅黑" w:cs="微软雅黑"/>
          <w:color w:val="404040"/>
          <w:sz w:val="19"/>
          <w:szCs w:val="19"/>
        </w:rPr>
        <w:t>44-151</w:t>
      </w:r>
      <w:r>
        <w:rPr>
          <w:rFonts w:ascii="微软雅黑" w:hAnsi="微软雅黑" w:cs="微软雅黑"/>
          <w:color w:val="404040"/>
          <w:sz w:val="19"/>
          <w:szCs w:val="19"/>
        </w:rPr>
        <w:t>万</w:t>
      </w:r>
      <w:r>
        <w:rPr>
          <w:rFonts w:ascii="微软雅黑" w:hAnsi="微软雅黑" w:cs="微软雅黑"/>
          <w:color w:val="404040"/>
          <w:sz w:val="19"/>
          <w:szCs w:val="19"/>
        </w:rPr>
        <w:t xml:space="preserve"> vs </w:t>
      </w:r>
      <w:r>
        <w:rPr>
          <w:rFonts w:ascii="微软雅黑" w:hAnsi="微软雅黑" w:cs="微软雅黑"/>
          <w:color w:val="404040"/>
          <w:sz w:val="19"/>
          <w:szCs w:val="19"/>
        </w:rPr>
        <w:t>往年</w:t>
      </w:r>
      <w:r>
        <w:rPr>
          <w:rFonts w:ascii="微软雅黑" w:hAnsi="微软雅黑" w:cs="微软雅黑"/>
          <w:color w:val="404040"/>
          <w:sz w:val="19"/>
          <w:szCs w:val="19"/>
        </w:rPr>
        <w:t>500-600</w:t>
      </w:r>
      <w:r>
        <w:rPr>
          <w:rFonts w:ascii="微软雅黑" w:hAnsi="微软雅黑" w:cs="微软雅黑"/>
          <w:color w:val="404040"/>
          <w:sz w:val="19"/>
          <w:szCs w:val="19"/>
        </w:rPr>
        <w:t>万），定位客流量减少；</w:t>
      </w:r>
      <w:r>
        <w:rPr>
          <w:rFonts w:ascii="微软雅黑" w:hAnsi="微软雅黑" w:cs="微软雅黑"/>
          <w:color w:val="404040"/>
          <w:sz w:val="19"/>
          <w:szCs w:val="19"/>
        </w:rPr>
        <w:t>RFM</w:t>
      </w:r>
      <w:r>
        <w:rPr>
          <w:rFonts w:ascii="微软雅黑" w:hAnsi="微软雅黑" w:cs="微软雅黑"/>
          <w:color w:val="404040"/>
          <w:sz w:val="19"/>
          <w:szCs w:val="19"/>
        </w:rPr>
        <w:t>「一般」客户占比超</w:t>
      </w:r>
      <w:r>
        <w:rPr>
          <w:rFonts w:ascii="微软雅黑" w:hAnsi="微软雅黑" w:cs="微软雅黑"/>
          <w:color w:val="404040"/>
          <w:sz w:val="19"/>
          <w:szCs w:val="19"/>
        </w:rPr>
        <w:t>68%</w:t>
      </w:r>
      <w:r>
        <w:rPr>
          <w:rFonts w:ascii="微软雅黑" w:hAnsi="微软雅黑" w:cs="微软雅黑"/>
          <w:color w:val="404040"/>
          <w:sz w:val="19"/>
          <w:szCs w:val="19"/>
        </w:rPr>
        <w:t>，建议召回策略。</w:t>
      </w:r>
    </w:p>
    <w:p w14:paraId="5C222870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彩棠三色腮红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618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促销期转化路径分析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主要负责人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 |  2026.06 - 2026.08</w:t>
      </w:r>
    </w:p>
    <w:p w14:paraId="257648A6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基于</w:t>
      </w:r>
      <w:r>
        <w:rPr>
          <w:rFonts w:ascii="微软雅黑" w:hAnsi="微软雅黑" w:cs="微软雅黑"/>
          <w:color w:val="404040"/>
          <w:sz w:val="19"/>
          <w:szCs w:val="19"/>
        </w:rPr>
        <w:t>90</w:t>
      </w:r>
      <w:r>
        <w:rPr>
          <w:rFonts w:ascii="微软雅黑" w:hAnsi="微软雅黑" w:cs="微软雅黑"/>
          <w:color w:val="404040"/>
          <w:sz w:val="19"/>
          <w:szCs w:val="19"/>
        </w:rPr>
        <w:t>万条用户行为数据，搭建「浏览</w:t>
      </w:r>
      <w:r>
        <w:rPr>
          <w:rFonts w:ascii="微软雅黑" w:hAnsi="微软雅黑" w:cs="微软雅黑"/>
          <w:color w:val="404040"/>
          <w:sz w:val="19"/>
          <w:szCs w:val="19"/>
        </w:rPr>
        <w:t>-</w:t>
      </w:r>
      <w:r>
        <w:rPr>
          <w:rFonts w:ascii="微软雅黑" w:hAnsi="微软雅黑" w:cs="微软雅黑"/>
          <w:color w:val="404040"/>
          <w:sz w:val="19"/>
          <w:szCs w:val="19"/>
        </w:rPr>
        <w:t>收藏</w:t>
      </w:r>
      <w:r>
        <w:rPr>
          <w:rFonts w:ascii="微软雅黑" w:hAnsi="微软雅黑" w:cs="微软雅黑"/>
          <w:color w:val="404040"/>
          <w:sz w:val="19"/>
          <w:szCs w:val="19"/>
        </w:rPr>
        <w:t>-</w:t>
      </w:r>
      <w:r>
        <w:rPr>
          <w:rFonts w:ascii="微软雅黑" w:hAnsi="微软雅黑" w:cs="微软雅黑"/>
          <w:color w:val="404040"/>
          <w:sz w:val="19"/>
          <w:szCs w:val="19"/>
        </w:rPr>
        <w:t>加购</w:t>
      </w:r>
      <w:r>
        <w:rPr>
          <w:rFonts w:ascii="微软雅黑" w:hAnsi="微软雅黑" w:cs="微软雅黑"/>
          <w:color w:val="404040"/>
          <w:sz w:val="19"/>
          <w:szCs w:val="19"/>
        </w:rPr>
        <w:t>-</w:t>
      </w:r>
      <w:r>
        <w:rPr>
          <w:rFonts w:ascii="微软雅黑" w:hAnsi="微软雅黑" w:cs="微软雅黑"/>
          <w:color w:val="404040"/>
          <w:sz w:val="19"/>
          <w:szCs w:val="19"/>
        </w:rPr>
        <w:t>支付」转化漏斗，加购率</w:t>
      </w:r>
      <w:r>
        <w:rPr>
          <w:rFonts w:ascii="微软雅黑" w:hAnsi="微软雅黑" w:cs="微软雅黑"/>
          <w:color w:val="404040"/>
          <w:sz w:val="19"/>
          <w:szCs w:val="19"/>
        </w:rPr>
        <w:t>42.32%</w:t>
      </w:r>
      <w:r>
        <w:rPr>
          <w:rFonts w:ascii="微软雅黑" w:hAnsi="微软雅黑" w:cs="微软雅黑"/>
          <w:color w:val="404040"/>
          <w:sz w:val="19"/>
          <w:szCs w:val="19"/>
        </w:rPr>
        <w:t>但支付转化仅</w:t>
      </w:r>
      <w:r>
        <w:rPr>
          <w:rFonts w:ascii="微软雅黑" w:hAnsi="微软雅黑" w:cs="微软雅黑"/>
          <w:color w:val="404040"/>
          <w:sz w:val="19"/>
          <w:szCs w:val="19"/>
        </w:rPr>
        <w:t>35.53%</w:t>
      </w:r>
      <w:r>
        <w:rPr>
          <w:rFonts w:ascii="微软雅黑" w:hAnsi="微软雅黑" w:cs="微软雅黑"/>
          <w:color w:val="404040"/>
          <w:sz w:val="19"/>
          <w:szCs w:val="19"/>
        </w:rPr>
        <w:t>，定位购买决策阶段流失。</w:t>
      </w:r>
    </w:p>
    <w:p w14:paraId="45CDDABA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设计「工作日预热</w:t>
      </w:r>
      <w:r>
        <w:rPr>
          <w:rFonts w:ascii="微软雅黑" w:hAnsi="微软雅黑" w:cs="微软雅黑"/>
          <w:color w:val="404040"/>
          <w:sz w:val="19"/>
          <w:szCs w:val="19"/>
        </w:rPr>
        <w:t>+</w:t>
      </w:r>
      <w:r>
        <w:rPr>
          <w:rFonts w:ascii="微软雅黑" w:hAnsi="微软雅黑" w:cs="微软雅黑"/>
          <w:color w:val="404040"/>
          <w:sz w:val="19"/>
          <w:szCs w:val="19"/>
        </w:rPr>
        <w:t>周末优惠券」策略，周末组转化率</w:t>
      </w:r>
      <w:r>
        <w:rPr>
          <w:rFonts w:ascii="微软雅黑" w:hAnsi="微软雅黑" w:cs="微软雅黑"/>
          <w:color w:val="404040"/>
          <w:sz w:val="19"/>
          <w:szCs w:val="19"/>
        </w:rPr>
        <w:t>33.26%</w:t>
      </w:r>
      <w:r>
        <w:rPr>
          <w:rFonts w:ascii="微软雅黑" w:hAnsi="微软雅黑" w:cs="微软雅黑"/>
          <w:color w:val="404040"/>
          <w:sz w:val="19"/>
          <w:szCs w:val="19"/>
        </w:rPr>
        <w:t>较工作日</w:t>
      </w:r>
      <w:r>
        <w:rPr>
          <w:rFonts w:ascii="微软雅黑" w:hAnsi="微软雅黑" w:cs="微软雅黑"/>
          <w:color w:val="404040"/>
          <w:sz w:val="19"/>
          <w:szCs w:val="19"/>
        </w:rPr>
        <w:t>14.26%</w:t>
      </w:r>
      <w:r>
        <w:rPr>
          <w:rFonts w:ascii="微软雅黑" w:hAnsi="微软雅黑" w:cs="微软雅黑"/>
          <w:color w:val="404040"/>
          <w:sz w:val="19"/>
          <w:szCs w:val="19"/>
        </w:rPr>
        <w:t>提升</w:t>
      </w:r>
      <w:r>
        <w:rPr>
          <w:rFonts w:ascii="微软雅黑" w:hAnsi="微软雅黑" w:cs="微软雅黑"/>
          <w:color w:val="404040"/>
          <w:sz w:val="19"/>
          <w:szCs w:val="19"/>
        </w:rPr>
        <w:t>19</w:t>
      </w:r>
      <w:r>
        <w:rPr>
          <w:rFonts w:ascii="微软雅黑" w:hAnsi="微软雅黑" w:cs="微软雅黑"/>
          <w:color w:val="404040"/>
          <w:sz w:val="19"/>
          <w:szCs w:val="19"/>
        </w:rPr>
        <w:t>个百分点。</w:t>
      </w:r>
    </w:p>
    <w:p w14:paraId="054CE3EC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lastRenderedPageBreak/>
        <w:t xml:space="preserve">　专业技能</w:t>
      </w:r>
    </w:p>
    <w:p w14:paraId="71D079BF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数据分析与可视化</w:t>
      </w:r>
    </w:p>
    <w:p w14:paraId="65DB8A3F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熟练</w:t>
      </w:r>
      <w:r>
        <w:rPr>
          <w:rFonts w:ascii="微软雅黑" w:hAnsi="微软雅黑" w:cs="微软雅黑"/>
          <w:color w:val="404040"/>
          <w:sz w:val="19"/>
          <w:szCs w:val="19"/>
        </w:rPr>
        <w:t>Python(Pandas/NumPy/Matplotlib/Pyecharts)</w:t>
      </w:r>
      <w:r>
        <w:rPr>
          <w:rFonts w:ascii="微软雅黑" w:hAnsi="微软雅黑" w:cs="微软雅黑"/>
          <w:color w:val="404040"/>
          <w:sz w:val="19"/>
          <w:szCs w:val="19"/>
        </w:rPr>
        <w:t>；熟练</w:t>
      </w:r>
      <w:r>
        <w:rPr>
          <w:rFonts w:ascii="微软雅黑" w:hAnsi="微软雅黑" w:cs="微软雅黑"/>
          <w:color w:val="404040"/>
          <w:sz w:val="19"/>
          <w:szCs w:val="19"/>
        </w:rPr>
        <w:t>Power BI</w:t>
      </w:r>
      <w:r>
        <w:rPr>
          <w:rFonts w:ascii="微软雅黑" w:hAnsi="微软雅黑" w:cs="微软雅黑"/>
          <w:color w:val="404040"/>
          <w:sz w:val="19"/>
          <w:szCs w:val="19"/>
        </w:rPr>
        <w:t>与</w:t>
      </w:r>
      <w:r>
        <w:rPr>
          <w:rFonts w:ascii="微软雅黑" w:hAnsi="微软雅黑" w:cs="微软雅黑"/>
          <w:color w:val="404040"/>
          <w:sz w:val="19"/>
          <w:szCs w:val="19"/>
        </w:rPr>
        <w:t>Tableau</w:t>
      </w:r>
      <w:r>
        <w:rPr>
          <w:rFonts w:ascii="微软雅黑" w:hAnsi="微软雅黑" w:cs="微软雅黑"/>
          <w:color w:val="404040"/>
          <w:sz w:val="19"/>
          <w:szCs w:val="19"/>
        </w:rPr>
        <w:t>，独立完成数据连接、建模与交互式看板；熟练</w:t>
      </w:r>
      <w:r>
        <w:rPr>
          <w:rFonts w:ascii="微软雅黑" w:hAnsi="微软雅黑" w:cs="微软雅黑"/>
          <w:color w:val="404040"/>
          <w:sz w:val="19"/>
          <w:szCs w:val="19"/>
        </w:rPr>
        <w:t>DAX</w:t>
      </w:r>
      <w:r>
        <w:rPr>
          <w:rFonts w:ascii="微软雅黑" w:hAnsi="微软雅黑" w:cs="微软雅黑"/>
          <w:color w:val="404040"/>
          <w:sz w:val="19"/>
          <w:szCs w:val="19"/>
        </w:rPr>
        <w:t>及复杂计算。</w:t>
      </w:r>
    </w:p>
    <w:p w14:paraId="32538873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数据库与数据处理</w:t>
      </w:r>
    </w:p>
    <w:p w14:paraId="49A67D64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熟练</w:t>
      </w:r>
      <w:r>
        <w:rPr>
          <w:rFonts w:ascii="微软雅黑" w:hAnsi="微软雅黑" w:cs="微软雅黑"/>
          <w:color w:val="404040"/>
          <w:sz w:val="19"/>
          <w:szCs w:val="19"/>
        </w:rPr>
        <w:t>SQL(</w:t>
      </w:r>
      <w:r>
        <w:rPr>
          <w:rFonts w:ascii="微软雅黑" w:hAnsi="微软雅黑" w:cs="微软雅黑"/>
          <w:color w:val="404040"/>
          <w:sz w:val="19"/>
          <w:szCs w:val="19"/>
        </w:rPr>
        <w:t>多表关联、子查询、窗口函数</w:t>
      </w:r>
      <w:r>
        <w:rPr>
          <w:rFonts w:ascii="微软雅黑" w:hAnsi="微软雅黑" w:cs="微软雅黑"/>
          <w:color w:val="404040"/>
          <w:sz w:val="19"/>
          <w:szCs w:val="19"/>
        </w:rPr>
        <w:t>)</w:t>
      </w:r>
      <w:r>
        <w:rPr>
          <w:rFonts w:ascii="微软雅黑" w:hAnsi="微软雅黑" w:cs="微软雅黑"/>
          <w:color w:val="404040"/>
          <w:sz w:val="19"/>
          <w:szCs w:val="19"/>
        </w:rPr>
        <w:t>；熟悉</w:t>
      </w:r>
      <w:r>
        <w:rPr>
          <w:rFonts w:ascii="微软雅黑" w:hAnsi="微软雅黑" w:cs="微软雅黑"/>
          <w:color w:val="404040"/>
          <w:sz w:val="19"/>
          <w:szCs w:val="19"/>
        </w:rPr>
        <w:t>ETL</w:t>
      </w:r>
      <w:r>
        <w:rPr>
          <w:rFonts w:ascii="微软雅黑" w:hAnsi="微软雅黑" w:cs="微软雅黑"/>
          <w:color w:val="404040"/>
          <w:sz w:val="19"/>
          <w:szCs w:val="19"/>
        </w:rPr>
        <w:t>流程与星型模型设计，统一业务指标口径。</w:t>
      </w:r>
    </w:p>
    <w:p w14:paraId="13254876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编程与建模</w:t>
      </w:r>
    </w:p>
    <w:p w14:paraId="18599642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良好</w:t>
      </w:r>
      <w:r>
        <w:rPr>
          <w:rFonts w:ascii="微软雅黑" w:hAnsi="微软雅黑" w:cs="微软雅黑"/>
          <w:color w:val="404040"/>
          <w:sz w:val="19"/>
          <w:szCs w:val="19"/>
        </w:rPr>
        <w:t>Python</w:t>
      </w:r>
      <w:r>
        <w:rPr>
          <w:rFonts w:ascii="微软雅黑" w:hAnsi="微软雅黑" w:cs="微软雅黑"/>
          <w:color w:val="404040"/>
          <w:sz w:val="19"/>
          <w:szCs w:val="19"/>
        </w:rPr>
        <w:t>工程组织与代码规范；可用</w:t>
      </w:r>
      <w:r>
        <w:rPr>
          <w:rFonts w:ascii="微软雅黑" w:hAnsi="微软雅黑" w:cs="微软雅黑"/>
          <w:color w:val="404040"/>
          <w:sz w:val="19"/>
          <w:szCs w:val="19"/>
        </w:rPr>
        <w:t>scikit-learn</w:t>
      </w:r>
      <w:r>
        <w:rPr>
          <w:rFonts w:ascii="微软雅黑" w:hAnsi="微软雅黑" w:cs="微软雅黑"/>
          <w:color w:val="404040"/>
          <w:sz w:val="19"/>
          <w:szCs w:val="19"/>
        </w:rPr>
        <w:t>完成流失预测等建模；了解</w:t>
      </w:r>
      <w:r>
        <w:rPr>
          <w:rFonts w:ascii="微软雅黑" w:hAnsi="微软雅黑" w:cs="微软雅黑"/>
          <w:color w:val="404040"/>
          <w:sz w:val="19"/>
          <w:szCs w:val="19"/>
        </w:rPr>
        <w:t>BERT/BiLSTM-CRF</w:t>
      </w:r>
      <w:r>
        <w:rPr>
          <w:rFonts w:ascii="微软雅黑" w:hAnsi="微软雅黑" w:cs="微软雅黑"/>
          <w:color w:val="404040"/>
          <w:sz w:val="19"/>
          <w:szCs w:val="19"/>
        </w:rPr>
        <w:t>序列标注。</w:t>
      </w:r>
    </w:p>
    <w:p w14:paraId="3FE62F14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办公与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AI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工具</w:t>
      </w:r>
    </w:p>
    <w:p w14:paraId="7CA8E894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熟练</w:t>
      </w:r>
      <w:r>
        <w:rPr>
          <w:rFonts w:ascii="微软雅黑" w:hAnsi="微软雅黑" w:cs="微软雅黑"/>
          <w:color w:val="404040"/>
          <w:sz w:val="19"/>
          <w:szCs w:val="19"/>
        </w:rPr>
        <w:t>Office</w:t>
      </w:r>
      <w:r>
        <w:rPr>
          <w:rFonts w:ascii="微软雅黑" w:hAnsi="微软雅黑" w:cs="微软雅黑"/>
          <w:color w:val="404040"/>
          <w:sz w:val="19"/>
          <w:szCs w:val="19"/>
        </w:rPr>
        <w:t>；具备</w:t>
      </w:r>
      <w:r>
        <w:rPr>
          <w:rFonts w:ascii="微软雅黑" w:hAnsi="微软雅黑" w:cs="微软雅黑"/>
          <w:color w:val="404040"/>
          <w:sz w:val="19"/>
          <w:szCs w:val="19"/>
        </w:rPr>
        <w:t>AI</w:t>
      </w:r>
      <w:r>
        <w:rPr>
          <w:rFonts w:ascii="微软雅黑" w:hAnsi="微软雅黑" w:cs="微软雅黑"/>
          <w:color w:val="404040"/>
          <w:sz w:val="19"/>
          <w:szCs w:val="19"/>
        </w:rPr>
        <w:t>辅助开发能力（</w:t>
      </w:r>
      <w:r>
        <w:rPr>
          <w:rFonts w:ascii="微软雅黑" w:hAnsi="微软雅黑" w:cs="微软雅黑"/>
          <w:color w:val="404040"/>
          <w:sz w:val="19"/>
          <w:szCs w:val="19"/>
        </w:rPr>
        <w:t>Vibe Coding</w:t>
      </w:r>
      <w:r>
        <w:rPr>
          <w:rFonts w:ascii="微软雅黑" w:hAnsi="微软雅黑" w:cs="微软雅黑"/>
          <w:color w:val="404040"/>
          <w:sz w:val="19"/>
          <w:szCs w:val="19"/>
        </w:rPr>
        <w:t>、</w:t>
      </w:r>
      <w:r>
        <w:rPr>
          <w:rFonts w:ascii="微软雅黑" w:hAnsi="微软雅黑" w:cs="微软雅黑"/>
          <w:color w:val="404040"/>
          <w:sz w:val="19"/>
          <w:szCs w:val="19"/>
        </w:rPr>
        <w:t>Cursor</w:t>
      </w:r>
      <w:r>
        <w:rPr>
          <w:rFonts w:ascii="微软雅黑" w:hAnsi="微软雅黑" w:cs="微软雅黑"/>
          <w:color w:val="404040"/>
          <w:sz w:val="19"/>
          <w:szCs w:val="19"/>
        </w:rPr>
        <w:t>）提升看板开发与数据处理效率。</w:t>
      </w:r>
    </w:p>
    <w:p w14:paraId="76EF7F8E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t xml:space="preserve">　个人荣誉</w:t>
      </w:r>
    </w:p>
    <w:p w14:paraId="5CFD6C49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竞赛奖项</w:t>
      </w:r>
    </w:p>
    <w:p w14:paraId="0130168C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2024</w:t>
      </w:r>
      <w:r>
        <w:rPr>
          <w:rFonts w:ascii="微软雅黑" w:hAnsi="微软雅黑" w:cs="微软雅黑"/>
          <w:color w:val="404040"/>
          <w:sz w:val="19"/>
          <w:szCs w:val="19"/>
        </w:rPr>
        <w:t>年</w:t>
      </w:r>
      <w:r>
        <w:rPr>
          <w:rFonts w:ascii="微软雅黑" w:hAnsi="微软雅黑" w:cs="微软雅黑"/>
          <w:color w:val="404040"/>
          <w:sz w:val="19"/>
          <w:szCs w:val="19"/>
        </w:rPr>
        <w:t>MathorCup</w:t>
      </w:r>
      <w:r>
        <w:rPr>
          <w:rFonts w:ascii="微软雅黑" w:hAnsi="微软雅黑" w:cs="微软雅黑"/>
          <w:color w:val="404040"/>
          <w:sz w:val="19"/>
          <w:szCs w:val="19"/>
        </w:rPr>
        <w:t>高校数学建模挑战</w:t>
      </w:r>
      <w:r>
        <w:rPr>
          <w:rFonts w:ascii="微软雅黑" w:hAnsi="微软雅黑" w:cs="微软雅黑"/>
          <w:color w:val="404040"/>
          <w:sz w:val="19"/>
          <w:szCs w:val="19"/>
        </w:rPr>
        <w:t>——</w:t>
      </w:r>
      <w:r>
        <w:rPr>
          <w:rFonts w:ascii="微软雅黑" w:hAnsi="微软雅黑" w:cs="微软雅黑"/>
          <w:color w:val="404040"/>
          <w:sz w:val="19"/>
          <w:szCs w:val="19"/>
        </w:rPr>
        <w:t>大数据竞赛二等奖。</w:t>
      </w:r>
    </w:p>
    <w:p w14:paraId="2CDDAD29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证书</w:t>
      </w:r>
    </w:p>
    <w:p w14:paraId="4F48CF7E" w14:textId="3080AD51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大学英语四级、</w:t>
      </w:r>
      <w:r>
        <w:rPr>
          <w:rFonts w:ascii="微软雅黑" w:hAnsi="微软雅黑" w:cs="微软雅黑"/>
          <w:color w:val="404040"/>
          <w:sz w:val="19"/>
          <w:szCs w:val="19"/>
        </w:rPr>
        <w:t>IITC</w:t>
      </w:r>
      <w:r>
        <w:rPr>
          <w:rFonts w:ascii="微软雅黑" w:hAnsi="微软雅黑" w:cs="微软雅黑"/>
          <w:color w:val="404040"/>
          <w:sz w:val="19"/>
          <w:szCs w:val="19"/>
        </w:rPr>
        <w:t>工信人才专业能力提升证书</w:t>
      </w:r>
      <w:r>
        <w:rPr>
          <w:rFonts w:ascii="微软雅黑" w:hAnsi="微软雅黑" w:cs="微软雅黑"/>
          <w:color w:val="404040"/>
          <w:sz w:val="19"/>
          <w:szCs w:val="19"/>
        </w:rPr>
        <w:t>(</w:t>
      </w:r>
      <w:r>
        <w:rPr>
          <w:rFonts w:ascii="微软雅黑" w:hAnsi="微软雅黑" w:cs="微软雅黑"/>
          <w:color w:val="404040"/>
          <w:sz w:val="19"/>
          <w:szCs w:val="19"/>
        </w:rPr>
        <w:t>大数据分析师</w:t>
      </w:r>
      <w:r>
        <w:rPr>
          <w:rFonts w:ascii="微软雅黑" w:hAnsi="微软雅黑" w:cs="微软雅黑"/>
          <w:color w:val="404040"/>
          <w:sz w:val="19"/>
          <w:szCs w:val="19"/>
        </w:rPr>
        <w:t>)</w:t>
      </w:r>
      <w:r>
        <w:rPr>
          <w:rFonts w:ascii="微软雅黑" w:hAnsi="微软雅黑" w:cs="微软雅黑"/>
          <w:color w:val="404040"/>
          <w:sz w:val="19"/>
          <w:szCs w:val="19"/>
        </w:rPr>
        <w:t>。</w:t>
      </w:r>
    </w:p>
    <w:p w14:paraId="374CF2B2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执照</w:t>
      </w:r>
    </w:p>
    <w:p w14:paraId="1E0777A0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民用无人驾驶航空器操纵员执照</w:t>
      </w:r>
      <w:r>
        <w:rPr>
          <w:rFonts w:ascii="微软雅黑" w:hAnsi="微软雅黑" w:cs="微软雅黑"/>
          <w:color w:val="404040"/>
          <w:sz w:val="19"/>
          <w:szCs w:val="19"/>
        </w:rPr>
        <w:t>(CAAC</w:t>
      </w:r>
      <w:r>
        <w:rPr>
          <w:rFonts w:ascii="微软雅黑" w:hAnsi="微软雅黑" w:cs="微软雅黑"/>
          <w:color w:val="404040"/>
          <w:sz w:val="19"/>
          <w:szCs w:val="19"/>
        </w:rPr>
        <w:t>超视距中型无人机</w:t>
      </w:r>
      <w:r>
        <w:rPr>
          <w:rFonts w:ascii="微软雅黑" w:hAnsi="微软雅黑" w:cs="微软雅黑"/>
          <w:color w:val="404040"/>
          <w:sz w:val="19"/>
          <w:szCs w:val="19"/>
        </w:rPr>
        <w:t>)</w:t>
      </w:r>
      <w:r>
        <w:rPr>
          <w:rFonts w:ascii="微软雅黑" w:hAnsi="微软雅黑" w:cs="微软雅黑"/>
          <w:color w:val="404040"/>
          <w:sz w:val="19"/>
          <w:szCs w:val="19"/>
        </w:rPr>
        <w:t>。</w:t>
      </w:r>
    </w:p>
    <w:p w14:paraId="1F84EA40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荣誉</w:t>
      </w:r>
    </w:p>
    <w:p w14:paraId="491B6AC6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校级「优秀工作人员」称号（心理部学生助理，统筹管理</w:t>
      </w:r>
      <w:r>
        <w:rPr>
          <w:rFonts w:ascii="微软雅黑" w:hAnsi="微软雅黑" w:cs="微软雅黑"/>
          <w:color w:val="404040"/>
          <w:sz w:val="19"/>
          <w:szCs w:val="19"/>
        </w:rPr>
        <w:t>5</w:t>
      </w:r>
      <w:r>
        <w:rPr>
          <w:rFonts w:ascii="微软雅黑" w:hAnsi="微软雅黑" w:cs="微软雅黑"/>
          <w:color w:val="404040"/>
          <w:sz w:val="19"/>
          <w:szCs w:val="19"/>
        </w:rPr>
        <w:t>人）；星级志愿者，累计志愿时长</w:t>
      </w:r>
      <w:r>
        <w:rPr>
          <w:rFonts w:ascii="微软雅黑" w:hAnsi="微软雅黑" w:cs="微软雅黑"/>
          <w:color w:val="404040"/>
          <w:sz w:val="19"/>
          <w:szCs w:val="19"/>
        </w:rPr>
        <w:t>150+</w:t>
      </w:r>
      <w:r>
        <w:rPr>
          <w:rFonts w:ascii="微软雅黑" w:hAnsi="微软雅黑" w:cs="微软雅黑"/>
          <w:color w:val="404040"/>
          <w:sz w:val="19"/>
          <w:szCs w:val="19"/>
        </w:rPr>
        <w:t>小时。</w:t>
      </w:r>
    </w:p>
    <w:p w14:paraId="3BDBF962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t xml:space="preserve">　校园经历</w:t>
      </w:r>
    </w:p>
    <w:p w14:paraId="00FAFB13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数学社社长</w:t>
      </w:r>
    </w:p>
    <w:p w14:paraId="377EAC8B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牵头组织数学建模培训、校级选拔赛，统筹活动全流程；社团获评校级优秀社团。</w:t>
      </w:r>
    </w:p>
    <w:p w14:paraId="11AE2385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班级团支书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 xml:space="preserve"> / 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重庆理工大学超跑协会策划部部长</w:t>
      </w:r>
    </w:p>
    <w:p w14:paraId="60956E25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青年志愿者协会宣传部部员、手语服务队负责人；带领班级获院团支部风采展比赛一等奖。</w:t>
      </w:r>
    </w:p>
    <w:p w14:paraId="5FAF708F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活动策划</w:t>
      </w:r>
    </w:p>
    <w:p w14:paraId="687E0619" w14:textId="6A635E43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策划「猫抓老鼠」「荧光夜跑」活动累计</w:t>
      </w:r>
      <w:r>
        <w:rPr>
          <w:rFonts w:ascii="微软雅黑" w:hAnsi="微软雅黑" w:cs="微软雅黑"/>
          <w:color w:val="404040"/>
          <w:sz w:val="19"/>
          <w:szCs w:val="19"/>
        </w:rPr>
        <w:t>5</w:t>
      </w:r>
      <w:r>
        <w:rPr>
          <w:rFonts w:ascii="微软雅黑" w:hAnsi="微软雅黑" w:cs="微软雅黑"/>
          <w:color w:val="404040"/>
          <w:sz w:val="19"/>
          <w:szCs w:val="19"/>
        </w:rPr>
        <w:t>场，场均参与</w:t>
      </w:r>
      <w:r>
        <w:rPr>
          <w:rFonts w:ascii="微软雅黑" w:hAnsi="微软雅黑" w:cs="微软雅黑"/>
          <w:color w:val="404040"/>
          <w:sz w:val="19"/>
          <w:szCs w:val="19"/>
        </w:rPr>
        <w:t>20+</w:t>
      </w:r>
      <w:r>
        <w:rPr>
          <w:rFonts w:ascii="微软雅黑" w:hAnsi="微软雅黑" w:cs="微软雅黑"/>
          <w:color w:val="404040"/>
          <w:sz w:val="19"/>
          <w:szCs w:val="19"/>
        </w:rPr>
        <w:t>。</w:t>
      </w:r>
    </w:p>
    <w:p w14:paraId="45BCD95A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系教师学生助理</w:t>
      </w: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(2025-2026)</w:t>
      </w:r>
    </w:p>
    <w:p w14:paraId="78EB3D97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协助行政事务、文档分类、信息整理与细节把控。</w:t>
      </w:r>
    </w:p>
    <w:p w14:paraId="73A6B945" w14:textId="77777777" w:rsidR="00EE5D93" w:rsidRDefault="008D0DE5">
      <w:pPr>
        <w:keepNext/>
        <w:pBdr>
          <w:bottom w:val="single" w:sz="14" w:space="2" w:color="BC8E00"/>
        </w:pBdr>
        <w:shd w:val="clear" w:color="auto" w:fill="4E7282"/>
        <w:snapToGrid w:val="0"/>
        <w:spacing w:before="100" w:after="45"/>
        <w:rPr>
          <w:rFonts w:hint="eastAsia"/>
        </w:rPr>
      </w:pPr>
      <w:r>
        <w:rPr>
          <w:rFonts w:ascii="微软雅黑" w:hAnsi="微软雅黑" w:cs="微软雅黑"/>
          <w:b/>
          <w:bCs/>
          <w:color w:val="FFFFFF"/>
          <w:sz w:val="22"/>
        </w:rPr>
        <w:t xml:space="preserve">　自我评价</w:t>
      </w:r>
    </w:p>
    <w:p w14:paraId="5E1E902A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数据分析工具</w:t>
      </w:r>
    </w:p>
    <w:p w14:paraId="558D7E16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熟练</w:t>
      </w:r>
      <w:r>
        <w:rPr>
          <w:rFonts w:ascii="微软雅黑" w:hAnsi="微软雅黑" w:cs="微软雅黑"/>
          <w:color w:val="404040"/>
          <w:sz w:val="19"/>
          <w:szCs w:val="19"/>
        </w:rPr>
        <w:t>Excel(</w:t>
      </w:r>
      <w:r>
        <w:rPr>
          <w:rFonts w:ascii="微软雅黑" w:hAnsi="微软雅黑" w:cs="微软雅黑"/>
          <w:color w:val="404040"/>
          <w:sz w:val="19"/>
          <w:szCs w:val="19"/>
        </w:rPr>
        <w:t>数据透视表</w:t>
      </w:r>
      <w:r>
        <w:rPr>
          <w:rFonts w:ascii="微软雅黑" w:hAnsi="微软雅黑" w:cs="微软雅黑"/>
          <w:color w:val="404040"/>
          <w:sz w:val="19"/>
          <w:szCs w:val="19"/>
        </w:rPr>
        <w:t>/Power Query/</w:t>
      </w:r>
      <w:r>
        <w:rPr>
          <w:rFonts w:ascii="微软雅黑" w:hAnsi="微软雅黑" w:cs="微软雅黑"/>
          <w:color w:val="404040"/>
          <w:sz w:val="19"/>
          <w:szCs w:val="19"/>
        </w:rPr>
        <w:t>函数</w:t>
      </w:r>
      <w:r>
        <w:rPr>
          <w:rFonts w:ascii="微软雅黑" w:hAnsi="微软雅黑" w:cs="微软雅黑"/>
          <w:color w:val="404040"/>
          <w:sz w:val="19"/>
          <w:szCs w:val="19"/>
        </w:rPr>
        <w:t>)</w:t>
      </w:r>
      <w:r>
        <w:rPr>
          <w:rFonts w:ascii="微软雅黑" w:hAnsi="微软雅黑" w:cs="微软雅黑"/>
          <w:color w:val="404040"/>
          <w:sz w:val="19"/>
          <w:szCs w:val="19"/>
        </w:rPr>
        <w:t>、</w:t>
      </w:r>
      <w:r>
        <w:rPr>
          <w:rFonts w:ascii="微软雅黑" w:hAnsi="微软雅黑" w:cs="微软雅黑"/>
          <w:color w:val="404040"/>
          <w:sz w:val="19"/>
          <w:szCs w:val="19"/>
        </w:rPr>
        <w:t xml:space="preserve">Tableau Prep </w:t>
      </w:r>
      <w:r>
        <w:rPr>
          <w:rFonts w:ascii="微软雅黑" w:hAnsi="微软雅黑" w:cs="微软雅黑"/>
          <w:color w:val="404040"/>
          <w:sz w:val="19"/>
          <w:szCs w:val="19"/>
        </w:rPr>
        <w:t>Builder</w:t>
      </w:r>
      <w:r>
        <w:rPr>
          <w:rFonts w:ascii="微软雅黑" w:hAnsi="微软雅黑" w:cs="微软雅黑"/>
          <w:color w:val="404040"/>
          <w:sz w:val="19"/>
          <w:szCs w:val="19"/>
        </w:rPr>
        <w:t>完成</w:t>
      </w:r>
      <w:r>
        <w:rPr>
          <w:rFonts w:ascii="微软雅黑" w:hAnsi="微软雅黑" w:cs="微软雅黑"/>
          <w:color w:val="404040"/>
          <w:sz w:val="19"/>
          <w:szCs w:val="19"/>
        </w:rPr>
        <w:t>ETL</w:t>
      </w:r>
      <w:r>
        <w:rPr>
          <w:rFonts w:ascii="微软雅黑" w:hAnsi="微软雅黑" w:cs="微软雅黑"/>
          <w:color w:val="404040"/>
          <w:sz w:val="19"/>
          <w:szCs w:val="19"/>
        </w:rPr>
        <w:t>、</w:t>
      </w:r>
      <w:r>
        <w:rPr>
          <w:rFonts w:ascii="微软雅黑" w:hAnsi="微软雅黑" w:cs="微软雅黑"/>
          <w:color w:val="404040"/>
          <w:sz w:val="19"/>
          <w:szCs w:val="19"/>
        </w:rPr>
        <w:t>Tableau/Power BI(DAX)</w:t>
      </w:r>
      <w:r>
        <w:rPr>
          <w:rFonts w:ascii="微软雅黑" w:hAnsi="微软雅黑" w:cs="微软雅黑"/>
          <w:color w:val="404040"/>
          <w:sz w:val="19"/>
          <w:szCs w:val="19"/>
        </w:rPr>
        <w:t>可视化看板。</w:t>
      </w:r>
    </w:p>
    <w:p w14:paraId="302B023C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编程与数据库</w:t>
      </w:r>
    </w:p>
    <w:p w14:paraId="7D019561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熟练</w:t>
      </w:r>
      <w:r>
        <w:rPr>
          <w:rFonts w:ascii="微软雅黑" w:hAnsi="微软雅黑" w:cs="微软雅黑"/>
          <w:color w:val="404040"/>
          <w:sz w:val="19"/>
          <w:szCs w:val="19"/>
        </w:rPr>
        <w:t>Python(Pandas/NumPy/</w:t>
      </w:r>
      <w:r>
        <w:rPr>
          <w:rFonts w:ascii="微软雅黑" w:hAnsi="微软雅黑" w:cs="微软雅黑"/>
          <w:color w:val="404040"/>
          <w:sz w:val="19"/>
          <w:szCs w:val="19"/>
        </w:rPr>
        <w:t>爬虫</w:t>
      </w:r>
      <w:r>
        <w:rPr>
          <w:rFonts w:ascii="微软雅黑" w:hAnsi="微软雅黑" w:cs="微软雅黑"/>
          <w:color w:val="404040"/>
          <w:sz w:val="19"/>
          <w:szCs w:val="19"/>
        </w:rPr>
        <w:t>)</w:t>
      </w:r>
      <w:r>
        <w:rPr>
          <w:rFonts w:ascii="微软雅黑" w:hAnsi="微软雅黑" w:cs="微软雅黑"/>
          <w:color w:val="404040"/>
          <w:sz w:val="19"/>
          <w:szCs w:val="19"/>
        </w:rPr>
        <w:t>、</w:t>
      </w:r>
      <w:r>
        <w:rPr>
          <w:rFonts w:ascii="微软雅黑" w:hAnsi="微软雅黑" w:cs="微软雅黑"/>
          <w:color w:val="404040"/>
          <w:sz w:val="19"/>
          <w:szCs w:val="19"/>
        </w:rPr>
        <w:t>MySQL</w:t>
      </w:r>
      <w:r>
        <w:rPr>
          <w:rFonts w:ascii="微软雅黑" w:hAnsi="微软雅黑" w:cs="微软雅黑"/>
          <w:color w:val="404040"/>
          <w:sz w:val="19"/>
          <w:szCs w:val="19"/>
        </w:rPr>
        <w:t>复杂查询与优化。</w:t>
      </w:r>
    </w:p>
    <w:p w14:paraId="40CCA56C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业务分析思维</w:t>
      </w:r>
    </w:p>
    <w:p w14:paraId="05F2EB64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结构化分析，熟悉归因分析、漏斗模型、</w:t>
      </w:r>
      <w:r>
        <w:rPr>
          <w:rFonts w:ascii="微软雅黑" w:hAnsi="微软雅黑" w:cs="微软雅黑"/>
          <w:color w:val="404040"/>
          <w:sz w:val="19"/>
          <w:szCs w:val="19"/>
        </w:rPr>
        <w:t>RFM</w:t>
      </w:r>
      <w:r>
        <w:rPr>
          <w:rFonts w:ascii="微软雅黑" w:hAnsi="微软雅黑" w:cs="微软雅黑"/>
          <w:color w:val="404040"/>
          <w:sz w:val="19"/>
          <w:szCs w:val="19"/>
        </w:rPr>
        <w:t>用户分层；能通过数据可视化洞察业务痛点，输出可落地优化建议。</w:t>
      </w:r>
    </w:p>
    <w:p w14:paraId="533D15EC" w14:textId="77777777" w:rsidR="00EE5D93" w:rsidRDefault="008D0DE5">
      <w:pPr>
        <w:keepNext/>
        <w:snapToGrid w:val="0"/>
        <w:spacing w:before="30" w:after="4" w:line="228" w:lineRule="auto"/>
        <w:rPr>
          <w:rFonts w:hint="eastAsia"/>
        </w:rPr>
      </w:pPr>
      <w:r>
        <w:rPr>
          <w:rFonts w:ascii="微软雅黑" w:hAnsi="微软雅黑" w:cs="微软雅黑"/>
          <w:b/>
          <w:bCs/>
          <w:color w:val="405E6C"/>
          <w:sz w:val="20"/>
          <w:szCs w:val="20"/>
        </w:rPr>
        <w:t>综合素质</w:t>
      </w:r>
    </w:p>
    <w:p w14:paraId="697EDA38" w14:textId="77777777" w:rsidR="00EE5D93" w:rsidRDefault="008D0DE5">
      <w:pPr>
        <w:snapToGrid w:val="0"/>
        <w:spacing w:line="228" w:lineRule="auto"/>
        <w:ind w:left="300"/>
        <w:rPr>
          <w:rFonts w:hint="eastAsia"/>
        </w:rPr>
      </w:pPr>
      <w:r>
        <w:rPr>
          <w:rFonts w:ascii="微软雅黑" w:hAnsi="微软雅黑" w:cs="微软雅黑"/>
          <w:color w:val="BC8E00"/>
          <w:sz w:val="20"/>
          <w:szCs w:val="20"/>
        </w:rPr>
        <w:t xml:space="preserve">· </w:t>
      </w:r>
      <w:r>
        <w:rPr>
          <w:rFonts w:ascii="微软雅黑" w:hAnsi="微软雅黑" w:cs="微软雅黑"/>
          <w:color w:val="404040"/>
          <w:sz w:val="19"/>
          <w:szCs w:val="19"/>
        </w:rPr>
        <w:t>校内实践丰富，具备团队协作与活动组织能力，擅长将复杂技术逻辑转化为通俗业务语言。</w:t>
      </w:r>
    </w:p>
    <w:sectPr w:rsidR="00EE5D93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6FC74A" w14:textId="77777777" w:rsidR="009E1E0C" w:rsidRDefault="009E1E0C" w:rsidP="009E1E0C">
      <w:pPr>
        <w:rPr>
          <w:rFonts w:hint="eastAsia"/>
        </w:rPr>
      </w:pPr>
      <w:r>
        <w:separator/>
      </w:r>
    </w:p>
  </w:endnote>
  <w:endnote w:type="continuationSeparator" w:id="0">
    <w:p w14:paraId="6A953BED" w14:textId="77777777" w:rsidR="009E1E0C" w:rsidRDefault="009E1E0C" w:rsidP="009E1E0C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altName w:val="Malgun Gothic Semilight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361D25" w14:textId="77777777" w:rsidR="009E1E0C" w:rsidRDefault="009E1E0C" w:rsidP="009E1E0C">
      <w:pPr>
        <w:rPr>
          <w:rFonts w:hint="eastAsia"/>
        </w:rPr>
      </w:pPr>
      <w:r>
        <w:separator/>
      </w:r>
    </w:p>
  </w:footnote>
  <w:footnote w:type="continuationSeparator" w:id="0">
    <w:p w14:paraId="658EF369" w14:textId="77777777" w:rsidR="009E1E0C" w:rsidRDefault="009E1E0C" w:rsidP="009E1E0C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E070D5"/>
    <w:multiLevelType w:val="multilevel"/>
    <w:tmpl w:val="36E070D5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  <w:color w:val="414141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6160536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attachedTemplate r:id="rId1"/>
  <w:defaultTabStop w:val="420"/>
  <w:drawingGridHorizontalSpacing w:val="105"/>
  <w:drawingGridVerticalSpacing w:val="156"/>
  <w:noPunctuationKerning/>
  <w:characterSpacingControl w:val="compressPunctuation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Y2QwZjRjMTRlOWIyZmQ1YzdiY2U2NWE0YjhiZjEwOTIifQ=="/>
  </w:docVars>
  <w:rsids>
    <w:rsidRoot w:val="1D06237C"/>
    <w:rsid w:val="00033B00"/>
    <w:rsid w:val="00050DD0"/>
    <w:rsid w:val="000A15E2"/>
    <w:rsid w:val="000A477B"/>
    <w:rsid w:val="000B7624"/>
    <w:rsid w:val="000E7B16"/>
    <w:rsid w:val="00145F04"/>
    <w:rsid w:val="0016204C"/>
    <w:rsid w:val="001864CD"/>
    <w:rsid w:val="0019746D"/>
    <w:rsid w:val="001D355C"/>
    <w:rsid w:val="00211176"/>
    <w:rsid w:val="002A02CC"/>
    <w:rsid w:val="002A6755"/>
    <w:rsid w:val="003150B6"/>
    <w:rsid w:val="00355330"/>
    <w:rsid w:val="003666FA"/>
    <w:rsid w:val="003829A9"/>
    <w:rsid w:val="003A597D"/>
    <w:rsid w:val="003A754D"/>
    <w:rsid w:val="004264B5"/>
    <w:rsid w:val="004447F5"/>
    <w:rsid w:val="00446196"/>
    <w:rsid w:val="00461F81"/>
    <w:rsid w:val="00465FA2"/>
    <w:rsid w:val="00487CEA"/>
    <w:rsid w:val="004F0F87"/>
    <w:rsid w:val="004F6A02"/>
    <w:rsid w:val="005166E6"/>
    <w:rsid w:val="0053077D"/>
    <w:rsid w:val="005311C9"/>
    <w:rsid w:val="00553D99"/>
    <w:rsid w:val="00557EDC"/>
    <w:rsid w:val="005B4768"/>
    <w:rsid w:val="005C3A11"/>
    <w:rsid w:val="006314A6"/>
    <w:rsid w:val="006922FB"/>
    <w:rsid w:val="00694DFC"/>
    <w:rsid w:val="006B4C9F"/>
    <w:rsid w:val="006F567F"/>
    <w:rsid w:val="00735052"/>
    <w:rsid w:val="007719C0"/>
    <w:rsid w:val="0077420C"/>
    <w:rsid w:val="007A4F49"/>
    <w:rsid w:val="007B1C07"/>
    <w:rsid w:val="0082702B"/>
    <w:rsid w:val="0085417A"/>
    <w:rsid w:val="0089146D"/>
    <w:rsid w:val="008D0DE5"/>
    <w:rsid w:val="008E3DFE"/>
    <w:rsid w:val="00911736"/>
    <w:rsid w:val="00923016"/>
    <w:rsid w:val="0092591B"/>
    <w:rsid w:val="0093682A"/>
    <w:rsid w:val="009872F7"/>
    <w:rsid w:val="009C366C"/>
    <w:rsid w:val="009D6057"/>
    <w:rsid w:val="009E1E0C"/>
    <w:rsid w:val="009F7C4F"/>
    <w:rsid w:val="00A2143F"/>
    <w:rsid w:val="00A24A7B"/>
    <w:rsid w:val="00A26FC6"/>
    <w:rsid w:val="00A702BF"/>
    <w:rsid w:val="00AB760C"/>
    <w:rsid w:val="00AD3779"/>
    <w:rsid w:val="00AE5B76"/>
    <w:rsid w:val="00B31A69"/>
    <w:rsid w:val="00B822E2"/>
    <w:rsid w:val="00BD4664"/>
    <w:rsid w:val="00BE0BF3"/>
    <w:rsid w:val="00BE4D64"/>
    <w:rsid w:val="00BF0749"/>
    <w:rsid w:val="00C21631"/>
    <w:rsid w:val="00CD3E9B"/>
    <w:rsid w:val="00D06232"/>
    <w:rsid w:val="00D50E46"/>
    <w:rsid w:val="00D65A32"/>
    <w:rsid w:val="00D76D6E"/>
    <w:rsid w:val="00D8497B"/>
    <w:rsid w:val="00DB4EC6"/>
    <w:rsid w:val="00DD7BC7"/>
    <w:rsid w:val="00E17ECD"/>
    <w:rsid w:val="00EA688C"/>
    <w:rsid w:val="00EE5D93"/>
    <w:rsid w:val="00F4103D"/>
    <w:rsid w:val="00FF5D10"/>
    <w:rsid w:val="00FF7F4E"/>
    <w:rsid w:val="022F48F3"/>
    <w:rsid w:val="03094B95"/>
    <w:rsid w:val="0A70362E"/>
    <w:rsid w:val="0A8B0AE3"/>
    <w:rsid w:val="0BBD4C0E"/>
    <w:rsid w:val="0E4229BA"/>
    <w:rsid w:val="0F4D76EE"/>
    <w:rsid w:val="1A7925D4"/>
    <w:rsid w:val="1D06237C"/>
    <w:rsid w:val="21CB7B54"/>
    <w:rsid w:val="28940033"/>
    <w:rsid w:val="360762D6"/>
    <w:rsid w:val="38C93A4C"/>
    <w:rsid w:val="38DA6BF6"/>
    <w:rsid w:val="399532AC"/>
    <w:rsid w:val="443861BE"/>
    <w:rsid w:val="4D515AD9"/>
    <w:rsid w:val="4E513395"/>
    <w:rsid w:val="4EA34EA3"/>
    <w:rsid w:val="58CC5771"/>
    <w:rsid w:val="59FE7432"/>
    <w:rsid w:val="62CA0762"/>
    <w:rsid w:val="6D0A2C65"/>
    <w:rsid w:val="72AE75A4"/>
    <w:rsid w:val="73C956F8"/>
    <w:rsid w:val="7A2A76C9"/>
    <w:rsid w:val="7CFC6EB7"/>
    <w:rsid w:val="7FA329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."/>
  <w:listSeparator w:val=","/>
  <w14:docId w14:val="2C9232EF"/>
  <w15:docId w15:val="{F601A207-BE96-4732-A2AB-25DBD6D8E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Arial Unicode MS" w:eastAsia="微软雅黑" w:hAnsi="Arial Unicode MS"/>
      <w:kern w:val="2"/>
      <w:sz w:val="21"/>
      <w:szCs w:val="22"/>
    </w:rPr>
  </w:style>
  <w:style w:type="paragraph" w:styleId="1">
    <w:name w:val="heading 1"/>
    <w:basedOn w:val="a"/>
    <w:next w:val="a"/>
    <w:link w:val="10"/>
    <w:uiPriority w:val="9"/>
    <w:qFormat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a7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列出段落1"/>
    <w:basedOn w:val="a"/>
    <w:uiPriority w:val="34"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qFormat/>
    <w:rPr>
      <w:rFonts w:ascii="宋体" w:hAnsi="宋体" w:cs="宋体"/>
      <w:b/>
      <w:bCs/>
      <w:kern w:val="36"/>
      <w:sz w:val="48"/>
      <w:szCs w:val="48"/>
    </w:rPr>
  </w:style>
  <w:style w:type="character" w:customStyle="1" w:styleId="a6">
    <w:name w:val="页眉 字符"/>
    <w:basedOn w:val="a0"/>
    <w:link w:val="a5"/>
    <w:uiPriority w:val="99"/>
    <w:qFormat/>
    <w:rPr>
      <w:rFonts w:ascii="Arial Unicode MS" w:eastAsia="微软雅黑" w:hAnsi="Arial Unicode MS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Arial Unicode MS" w:eastAsia="微软雅黑" w:hAnsi="Arial Unicode MS"/>
      <w:kern w:val="2"/>
      <w:sz w:val="18"/>
      <w:szCs w:val="18"/>
    </w:rPr>
  </w:style>
  <w:style w:type="paragraph" w:customStyle="1" w:styleId="12">
    <w:name w:val="列表段落1"/>
    <w:basedOn w:val="a"/>
    <w:uiPriority w:val="34"/>
    <w:qFormat/>
    <w:pPr>
      <w:ind w:firstLineChars="200" w:firstLine="420"/>
    </w:pPr>
    <w:rPr>
      <w:rFonts w:asciiTheme="minorHAnsi" w:eastAsiaTheme="minorEastAsia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edao\AppData\Roaming\kingsoft\office6\templates\download\&#40664;&#35748;\&#21019;&#24847;&#31616;&#21382;SJS0056A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创意简历SJS0056A.docx</Template>
  <TotalTime>0</TotalTime>
  <Pages>2</Pages>
  <Words>399</Words>
  <Characters>2275</Characters>
  <Application>Microsoft Office Word</Application>
  <DocSecurity>0</DocSecurity>
  <Lines>18</Lines>
  <Paragraphs>5</Paragraphs>
  <ScaleCrop>false</ScaleCrop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kedao</dc:creator>
  <cp:lastModifiedBy>杰伦 周</cp:lastModifiedBy>
  <cp:revision>2</cp:revision>
  <cp:lastPrinted>2026-11-02T11:10:00Z</cp:lastPrinted>
  <dcterms:created xsi:type="dcterms:W3CDTF">2026-11-02T11:10:00Z</dcterms:created>
  <dcterms:modified xsi:type="dcterms:W3CDTF">2026-11-02T11:10:00Z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B8009F3E4A8049A9ABD09603CB933134_13</vt:lpwstr>
  </property>
  <property fmtid="{D5CDD505-2E9C-101B-9397-08002B2CF9AE}" pid="4" name="KSOTemplateDocerSaveRecord">
    <vt:lpwstr>eyJoZGlkIjoiZjM4OGQ2MTQ1MGI4MDA2ZGZlMzJjODEyZWMwY2VmNmIiLCJ1c2VySWQiOiIyNTc3NjY0MDgifQ==</vt:lpwstr>
  </property>
</Properties>
</file>